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lang w:val="en-US" w:eastAsia="zh-CN"/>
        </w:rPr>
      </w:pPr>
      <w:r>
        <w:rPr>
          <w:rFonts w:hint="eastAsia"/>
          <w:b/>
          <w:bCs/>
          <w:sz w:val="28"/>
          <w:szCs w:val="36"/>
          <w:lang w:val="en-US" w:eastAsia="zh-CN"/>
        </w:rPr>
        <w:t>光伏项目投标须知和技术要求</w:t>
      </w:r>
      <w:bookmarkStart w:id="0" w:name="_GoBack"/>
      <w:bookmarkEnd w:id="0"/>
    </w:p>
    <w:p>
      <w:pPr>
        <w:numPr>
          <w:ilvl w:val="0"/>
          <w:numId w:val="1"/>
        </w:numPr>
        <w:jc w:val="left"/>
        <w:rPr>
          <w:rFonts w:hint="eastAsia"/>
          <w:sz w:val="24"/>
          <w:szCs w:val="32"/>
          <w:lang w:val="en-US" w:eastAsia="zh-CN"/>
        </w:rPr>
      </w:pPr>
      <w:r>
        <w:rPr>
          <w:rFonts w:hint="eastAsia"/>
          <w:b/>
          <w:bCs/>
          <w:sz w:val="24"/>
          <w:szCs w:val="32"/>
          <w:lang w:val="en-US" w:eastAsia="zh-CN"/>
        </w:rPr>
        <w:t>设备需求概况：</w:t>
      </w:r>
    </w:p>
    <w:p>
      <w:pPr>
        <w:widowControl w:val="0"/>
        <w:numPr>
          <w:ilvl w:val="0"/>
          <w:numId w:val="0"/>
        </w:numPr>
        <w:ind w:firstLine="420" w:firstLineChars="0"/>
        <w:jc w:val="left"/>
        <w:rPr>
          <w:rFonts w:hint="eastAsia"/>
          <w:sz w:val="24"/>
          <w:szCs w:val="32"/>
          <w:lang w:val="en-US" w:eastAsia="zh-CN"/>
        </w:rPr>
      </w:pPr>
      <w:r>
        <w:rPr>
          <w:rFonts w:hint="eastAsia"/>
          <w:sz w:val="24"/>
          <w:szCs w:val="32"/>
          <w:lang w:val="en-US" w:eastAsia="zh-CN"/>
        </w:rPr>
        <w:t>本技术要求建议（不限于）光伏项目采购设备从以下厂家中选择：</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265"/>
        <w:gridCol w:w="4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2840"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设备类别</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序号</w:t>
            </w:r>
          </w:p>
        </w:tc>
        <w:tc>
          <w:tcPr>
            <w:tcW w:w="4417"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1）光伏组件</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晶澳太阳能光伏科技有限公司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东方日升新能源股份有限公司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天合光能股份有限公司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晶科能源股份有限公司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5</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隆基绿能科技股份有限公司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6</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阿特斯阳光电力集团股份有限公司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7</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通威太阳能(</w:t>
            </w:r>
            <w:r>
              <w:rPr>
                <w:rFonts w:hint="eastAsia"/>
                <w:color w:val="auto"/>
                <w:sz w:val="24"/>
                <w:szCs w:val="24"/>
                <w:vertAlign w:val="baseline"/>
                <w:lang w:val="en-US" w:eastAsia="zh-CN"/>
              </w:rPr>
              <w:t>合肥</w:t>
            </w:r>
            <w:r>
              <w:rPr>
                <w:rFonts w:hint="default"/>
                <w:color w:val="auto"/>
                <w:sz w:val="24"/>
                <w:szCs w:val="24"/>
                <w:vertAlign w:val="baseline"/>
                <w:lang w:val="en-US"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8</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正信光电科技股份有限公司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9</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fldChar w:fldCharType="begin"/>
            </w:r>
            <w:r>
              <w:rPr>
                <w:rFonts w:hint="default"/>
                <w:color w:val="auto"/>
                <w:sz w:val="24"/>
                <w:szCs w:val="24"/>
                <w:vertAlign w:val="baseline"/>
                <w:lang w:val="en-US" w:eastAsia="zh-CN"/>
              </w:rPr>
              <w:instrText xml:space="preserve"> HYPERLINK "http://www.baidu.com/link?url=TbLUOKS0dmEZERfflC0vzqF3lZrXNJrdHDW56zS5piY4ExzGNRysCbBVW0ss44B19GlskOinPsZpmLFSB5FZimMFfhV15C2hCZ-3sPVkbJCV5Fv0H1Vjx8Smz3PGri8oDRa8dBPHu5C9UZUW3jJFCmp2TgGfPDe3O3d-uDSnp6Gp8kHEUG5mYdkeWJnb52do" \t "https://www.baidu.com/_blank" </w:instrText>
            </w:r>
            <w:r>
              <w:rPr>
                <w:rFonts w:hint="default"/>
                <w:color w:val="auto"/>
                <w:sz w:val="24"/>
                <w:szCs w:val="24"/>
                <w:vertAlign w:val="baseline"/>
                <w:lang w:val="en-US" w:eastAsia="zh-CN"/>
              </w:rPr>
              <w:fldChar w:fldCharType="separate"/>
            </w:r>
            <w:r>
              <w:rPr>
                <w:rFonts w:hint="default"/>
                <w:color w:val="auto"/>
                <w:sz w:val="24"/>
                <w:szCs w:val="24"/>
                <w:vertAlign w:val="baseline"/>
                <w:lang w:val="en-US" w:eastAsia="zh-CN"/>
              </w:rPr>
              <w:t>协鑫集成科技股份有限公司</w:t>
            </w:r>
            <w:r>
              <w:rPr>
                <w:rFonts w:hint="default"/>
                <w:color w:val="auto"/>
                <w:sz w:val="24"/>
                <w:szCs w:val="24"/>
                <w:vertAlign w:val="baseline"/>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10</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安徽仕净能源科技有限公司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2）逆变器</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华为技术有限公司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深圳古瑞瓦特新能源股份有限公司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固德威技术股份有限公司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特变电工股份有限公司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5</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深圳科士达科技股份有限公司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6</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default"/>
                <w:color w:val="auto"/>
                <w:sz w:val="24"/>
                <w:szCs w:val="24"/>
                <w:vertAlign w:val="baseline"/>
                <w:lang w:val="en-US" w:eastAsia="zh-CN"/>
              </w:rPr>
              <w:t>科华数据股份有限公司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7</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阳光电源股份有限公司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8</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上能电气股份有限公司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3）光伏支架</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江苏品威新能源科技有限公司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福建安泰新能源科技有限公司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江苏中信博新能源科技股份有限公司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深圳市安泰科清洁能源股份有限公司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5</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天津鑫润恒信新能源科技发展有限公司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6</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安徽宇信新材料有限公司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7</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江苏火蓝电气有限公司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8</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安徽宏宇铝业有限公司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4）配电柜</w:t>
            </w:r>
            <w:r>
              <w:rPr>
                <w:rFonts w:hint="eastAsia"/>
                <w:sz w:val="24"/>
                <w:szCs w:val="32"/>
                <w:highlight w:val="yellow"/>
                <w:vertAlign w:val="baseline"/>
                <w:lang w:val="en-US" w:eastAsia="zh-CN"/>
              </w:rPr>
              <w:t>（主要元器件需选择德力西、正泰、上海人民等同档次及以上档次产品）</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阳光电源股份有限公司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特变电工股份有限公司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广德通德电气设备有限公司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安徽鑫辰电器设备公司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5</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 xml:space="preserve">芜湖卓亚电气有限公司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6</w:t>
            </w:r>
          </w:p>
        </w:tc>
        <w:tc>
          <w:tcPr>
            <w:tcW w:w="4417" w:type="dxa"/>
            <w:vAlign w:val="center"/>
          </w:tcPr>
          <w:p>
            <w:pPr>
              <w:widowControl w:val="0"/>
              <w:numPr>
                <w:ilvl w:val="0"/>
                <w:numId w:val="0"/>
              </w:numPr>
              <w:jc w:val="center"/>
              <w:rPr>
                <w:rFonts w:hint="default"/>
                <w:color w:val="auto"/>
                <w:sz w:val="24"/>
                <w:szCs w:val="24"/>
                <w:vertAlign w:val="baseline"/>
                <w:lang w:val="en-US" w:eastAsia="zh-CN"/>
              </w:rPr>
            </w:pPr>
            <w:r>
              <w:rPr>
                <w:rFonts w:hint="eastAsia"/>
                <w:color w:val="auto"/>
                <w:sz w:val="24"/>
                <w:szCs w:val="24"/>
                <w:vertAlign w:val="baseline"/>
                <w:lang w:val="en-US" w:eastAsia="zh-CN"/>
              </w:rPr>
              <w:t xml:space="preserve">   </w:t>
            </w:r>
            <w:r>
              <w:rPr>
                <w:rFonts w:hint="default"/>
                <w:color w:val="auto"/>
                <w:sz w:val="24"/>
                <w:szCs w:val="24"/>
                <w:vertAlign w:val="baseline"/>
                <w:lang w:val="en-US" w:eastAsia="zh-CN"/>
              </w:rPr>
              <w:fldChar w:fldCharType="begin"/>
            </w:r>
            <w:r>
              <w:rPr>
                <w:rFonts w:hint="default"/>
                <w:color w:val="auto"/>
                <w:sz w:val="24"/>
                <w:szCs w:val="24"/>
                <w:vertAlign w:val="baseline"/>
                <w:lang w:val="en-US" w:eastAsia="zh-CN"/>
              </w:rPr>
              <w:instrText xml:space="preserve"> HYPERLINK "https://aiqicha.baidu.com/detail/compinfo?pid=42435833487973&amp;rq=ef&amp;pd=ee&amp;from=ps&amp;query=%E5%AE%81%E5%9B%BD%E9%91%AB%E6%82%A6%E7%94%B5%E6%B0%94%E6%9C%89%E9%99%90%E5%85%AC%E5%8F%B8" \t "https://www.baidu.com/_blank" </w:instrText>
            </w:r>
            <w:r>
              <w:rPr>
                <w:rFonts w:hint="default"/>
                <w:color w:val="auto"/>
                <w:sz w:val="24"/>
                <w:szCs w:val="24"/>
                <w:vertAlign w:val="baseline"/>
                <w:lang w:val="en-US" w:eastAsia="zh-CN"/>
              </w:rPr>
              <w:fldChar w:fldCharType="separate"/>
            </w:r>
            <w:r>
              <w:rPr>
                <w:rFonts w:hint="default"/>
                <w:color w:val="auto"/>
                <w:sz w:val="24"/>
                <w:szCs w:val="24"/>
                <w:vertAlign w:val="baseline"/>
                <w:lang w:val="en-US" w:eastAsia="zh-CN"/>
              </w:rPr>
              <w:t>宁国鑫悦电气有限公司 </w:t>
            </w:r>
            <w:r>
              <w:rPr>
                <w:rFonts w:hint="default"/>
                <w:color w:val="auto"/>
                <w:sz w:val="24"/>
                <w:szCs w:val="24"/>
                <w:vertAlign w:val="baseline"/>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7）电缆</w:t>
            </w: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1</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江苏上上电缆集团有限公司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2</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远东电缆有限公司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3</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无锡华美电缆有限公司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4</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无锡江南电缆有限公司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5</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特变电工山东鲁能泰山电缆有限公司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left"/>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6</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fldChar w:fldCharType="begin"/>
            </w:r>
            <w:r>
              <w:rPr>
                <w:rFonts w:hint="eastAsia"/>
                <w:color w:val="auto"/>
                <w:sz w:val="24"/>
                <w:szCs w:val="24"/>
                <w:vertAlign w:val="baseline"/>
                <w:lang w:val="en-US" w:eastAsia="zh-CN"/>
              </w:rPr>
              <w:instrText xml:space="preserve"> HYPERLINK "http://www.baidu.com/link?url=XOzflUMv0-dG-2orjmhrm-1tZcqCAnZPLxFCTAiT38t7AYE-YZ5jh5dXdhtUbuNjmnY2xJ4zGM1upvXp5ydmpc6CJxs-GRw9q8sSxY22mOpF2yrPxhprIep0-z8E6BNEM2OPfFG9VeeqIJZ0jv3UWrk_1NFyhwcpgmvXn5IAz7w2MrE_xqsmRI6z3abzWsxB2lQB1Z_VBuJrzpzEgZYbBrwDgvk53FyMyZ4aLWbJGy4AhP6HIDKs_AuwMOaBaBo9aez92fajGYkzPIE_yjw_uUW7EY7c4TF52Dw5LfHosNA-extRM_AK4oB1tIzpWhuF" \t "https://www.baidu.com/_blank" </w:instrText>
            </w:r>
            <w:r>
              <w:rPr>
                <w:rFonts w:hint="eastAsia"/>
                <w:color w:val="auto"/>
                <w:sz w:val="24"/>
                <w:szCs w:val="24"/>
                <w:vertAlign w:val="baseline"/>
                <w:lang w:val="en-US" w:eastAsia="zh-CN"/>
              </w:rPr>
              <w:fldChar w:fldCharType="separate"/>
            </w:r>
            <w:r>
              <w:rPr>
                <w:rFonts w:hint="eastAsia"/>
                <w:color w:val="auto"/>
                <w:sz w:val="24"/>
                <w:szCs w:val="24"/>
                <w:vertAlign w:val="baseline"/>
                <w:lang w:val="en-US" w:eastAsia="zh-CN"/>
              </w:rPr>
              <w:t>安徽明福电缆有限公司</w:t>
            </w:r>
            <w:r>
              <w:rPr>
                <w:rFonts w:hint="eastAsia"/>
                <w:color w:val="auto"/>
                <w:sz w:val="24"/>
                <w:szCs w:val="24"/>
                <w:vertAlign w:val="baseline"/>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center"/>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7</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fldChar w:fldCharType="begin"/>
            </w:r>
            <w:r>
              <w:rPr>
                <w:rFonts w:hint="eastAsia"/>
                <w:color w:val="auto"/>
                <w:sz w:val="24"/>
                <w:szCs w:val="24"/>
                <w:vertAlign w:val="baseline"/>
                <w:lang w:val="en-US" w:eastAsia="zh-CN"/>
              </w:rPr>
              <w:instrText xml:space="preserve"> HYPERLINK "http://www.baidu.com/baidu.php?url=0f00000uEDLSpLgiCE3yvf3GAsNYrrK9depRGZNVrQFVkvJANKyN5s1FVP_R451VJTmYf-K4kxxlQ0tOeQMVy6VJVDYraZqk4AYcIuWRT6bm3OE8xe3Qp0KfFSRYrlu1CUBeW1lKimhs7tWhzdyBjd3KVPX7RYh6k_QLoqtS6mKgJAgN3Ksdcz0G79-nV1a0FVThN_EWip3HvyDOoSTlHnafcL-T.7Y_ixVOVOVSRIyX6ePYmAmbf2pMpRt85R_nYQZHgbLy2.U1Yz0ZDqzTSlCtUsVl_0TA-W5HD0IjLAtQXoVXx0sohoze30pyYqnWcd0ATqUvNsT1D0Iybqmh7GuZR0TA-b5Hb0mv-b5HD1P6KVIjYknjD4g1DsnHIxnW0dnNt1PW0k0AVG5H00TMfqP1T10AFG5HDdr7tznjwxPH010AdW5HDsnH-xnH0kPdtznjRkg100TgKGujYz0Z7Wpyfqn0KzuLw9u1Ys0A7B5HKxn0K-ThTqn0KsTjY4njb3nWczP1n0UMus5H08nj0snj0snj00Ugws5H00uAwETjYs0ZFJ5H00uANv5gKW0AuY5H00TA6qn0KET1Ys0AFL5H60UMfqn0K1XWY0mgPxpywW5gK1QyIlUMn0pywW5R9rf6KspZw45fKYmgFMugfqn17xn1DYg1cv0ZwdT1YdrjRzPjb3P1n1njnvrHT1P1RY0ZF-TgfqnHTsPjDdPWcdn1n4PsK1pyfqryuBrH03n1csnj0srAf1n6KWTvYqwjNKwjn1PYD4PYPKfRDkwfK9m1Yk0ZK85H00TydY5H00Tyd15H00XMfqn0KVmdqhThqV5HKxn7tsg100uA78IyF-gLK_my4GuZnqn7tsg1Kxn0Ksmgwxuhk9u1Ys0AwWpyfqnsK-IA-b5HmY0A71TAPW5H00IgKGUhPW5H00Tydh5H00uhPdIjYs0A-1mvsqn0K9uAu_myTqnfK_uhnqn0KbmvPb5HRvPH-KwHRkPHPKfHm1fYRdnHIDfRn4PHR1PDfkPDfLrbuZ5HD0IZF9uARqn0KBuA-b5RfLnbfsPRNDP19KwWFArHmznYc4fRn4rHK7P1RsPHbk0AqW5HD0mMfqnfKEmgwL5H00ULfqn0KETMKY5H0WnanWnansc10Wna3snj0snj0WnaPDw-fWnanVc108nj0snj0sc1D8nj0snj0sc10WnansQW0snj0snansc10Wnansc100mh78pv7Wm1Ysc10Wnans0Z91IZRqPj64rHR1PHc0TNqv5H08rj9xna3sn7tsQW0sg108rjuxna3YPNtsg108PjNxn0KBTdqsThqbpyfqn0KzUv-hUA7M5H00mLmq0A-1gvPsmHYs0APs5H00ugPY5H00TyILujYs0APzm1YYnH6vn6&amp;us=newvui&amp;xst=TjY4njb3nWczP1nKm1YdPWR4fRRdnHR1fRDvnYP7PHDLwD7jrHRdn1wDnHwDP1GAw1Yk0ycqwjTzwj0dwRfLrD7Anbm4PWc1fW-Kf1b4nDRLPH0drHDKT1YknHRsrHc1rHn1n1Rvn1f1PWn1r7tznWNxnf7L5TUsVl8d4tja8pEQE67k5TM58J5AtQXo0gRqPj64rHR1PHcKIjYkP10YnHRvnWR10ydk5H0an0cV0yPC5yuWgLKW0ykd5H0Kmv3qmh7GuZNCUvd-gLKM0gFY5H0KnWDkPWb1PHm&amp;cegduid=Pj64rHR1PHc&amp;solutionId=25837857&amp;word=&amp;ck=3157.10.1704156273004.0.0.163.100.0&amp;shh=www.baidu.com&amp;sht=baiduhome_pg&amp;wd=" \t "https://www.baidu.com/_blank" </w:instrText>
            </w:r>
            <w:r>
              <w:rPr>
                <w:rFonts w:hint="eastAsia"/>
                <w:color w:val="auto"/>
                <w:sz w:val="24"/>
                <w:szCs w:val="24"/>
                <w:vertAlign w:val="baseline"/>
                <w:lang w:val="en-US" w:eastAsia="zh-CN"/>
              </w:rPr>
              <w:fldChar w:fldCharType="separate"/>
            </w:r>
            <w:r>
              <w:rPr>
                <w:rFonts w:hint="eastAsia"/>
                <w:color w:val="auto"/>
                <w:sz w:val="24"/>
                <w:szCs w:val="24"/>
                <w:vertAlign w:val="baseline"/>
                <w:lang w:val="en-US" w:eastAsia="zh-CN"/>
              </w:rPr>
              <w:t>上海起帆电线电缆有限公司</w:t>
            </w:r>
            <w:r>
              <w:rPr>
                <w:rFonts w:hint="eastAsia"/>
                <w:color w:val="auto"/>
                <w:sz w:val="24"/>
                <w:szCs w:val="24"/>
                <w:vertAlign w:val="baseline"/>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center"/>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8</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玖开特种线缆(上海)有限公司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widowControl w:val="0"/>
              <w:numPr>
                <w:ilvl w:val="0"/>
                <w:numId w:val="0"/>
              </w:numPr>
              <w:jc w:val="center"/>
              <w:rPr>
                <w:rFonts w:hint="default"/>
                <w:sz w:val="24"/>
                <w:szCs w:val="32"/>
                <w:vertAlign w:val="baseline"/>
                <w:lang w:val="en-US" w:eastAsia="zh-CN"/>
              </w:rPr>
            </w:pPr>
          </w:p>
        </w:tc>
        <w:tc>
          <w:tcPr>
            <w:tcW w:w="1265" w:type="dxa"/>
            <w:vAlign w:val="center"/>
          </w:tcPr>
          <w:p>
            <w:pPr>
              <w:widowControl w:val="0"/>
              <w:numPr>
                <w:ilvl w:val="0"/>
                <w:numId w:val="0"/>
              </w:numPr>
              <w:jc w:val="center"/>
              <w:rPr>
                <w:rFonts w:hint="default"/>
                <w:sz w:val="24"/>
                <w:szCs w:val="32"/>
                <w:vertAlign w:val="baseline"/>
                <w:lang w:val="en-US" w:eastAsia="zh-CN"/>
              </w:rPr>
            </w:pPr>
            <w:r>
              <w:rPr>
                <w:rFonts w:hint="eastAsia"/>
                <w:sz w:val="24"/>
                <w:szCs w:val="32"/>
                <w:vertAlign w:val="baseline"/>
                <w:lang w:val="en-US" w:eastAsia="zh-CN"/>
              </w:rPr>
              <w:t>9</w:t>
            </w:r>
          </w:p>
        </w:tc>
        <w:tc>
          <w:tcPr>
            <w:tcW w:w="4417" w:type="dxa"/>
            <w:vAlign w:val="center"/>
          </w:tcPr>
          <w:p>
            <w:pPr>
              <w:widowControl w:val="0"/>
              <w:numPr>
                <w:ilvl w:val="0"/>
                <w:numId w:val="0"/>
              </w:numPr>
              <w:jc w:val="center"/>
              <w:rPr>
                <w:rFonts w:hint="eastAsia"/>
                <w:color w:val="auto"/>
                <w:sz w:val="24"/>
                <w:szCs w:val="24"/>
                <w:vertAlign w:val="baseline"/>
                <w:lang w:val="en-US" w:eastAsia="zh-CN"/>
              </w:rPr>
            </w:pPr>
            <w:r>
              <w:rPr>
                <w:rFonts w:hint="eastAsia"/>
                <w:color w:val="auto"/>
                <w:sz w:val="24"/>
                <w:szCs w:val="24"/>
                <w:vertAlign w:val="baseline"/>
                <w:lang w:val="en-US" w:eastAsia="zh-CN"/>
              </w:rPr>
              <w:t>浙江永久电缆有限公司</w:t>
            </w:r>
          </w:p>
        </w:tc>
      </w:tr>
    </w:tbl>
    <w:p>
      <w:pPr>
        <w:widowControl w:val="0"/>
        <w:numPr>
          <w:ilvl w:val="0"/>
          <w:numId w:val="0"/>
        </w:numPr>
        <w:ind w:firstLine="420" w:firstLineChars="0"/>
        <w:jc w:val="left"/>
        <w:rPr>
          <w:rFonts w:hint="default"/>
          <w:sz w:val="24"/>
          <w:szCs w:val="32"/>
          <w:lang w:val="en-US" w:eastAsia="zh-CN"/>
        </w:rPr>
      </w:pPr>
      <w:r>
        <w:rPr>
          <w:rFonts w:hint="default"/>
          <w:sz w:val="24"/>
          <w:szCs w:val="32"/>
          <w:lang w:val="en-US" w:eastAsia="zh-CN"/>
        </w:rPr>
        <w:t>本招标书提出了最低限度的技术要求，并未对一切技术细节规定所有的技术要求和适用的标准，投标方(中标方)应保证提供符合本技术部分和有关最新工业标准的优质产品及其相应服务。投标方提供的产品应满足本技术部分的要求。</w:t>
      </w:r>
    </w:p>
    <w:p>
      <w:pPr>
        <w:widowControl w:val="0"/>
        <w:numPr>
          <w:ilvl w:val="0"/>
          <w:numId w:val="1"/>
        </w:numPr>
        <w:ind w:left="0" w:leftChars="0" w:firstLine="0" w:firstLineChars="0"/>
        <w:jc w:val="left"/>
        <w:rPr>
          <w:rFonts w:hint="eastAsia"/>
          <w:b/>
          <w:bCs/>
          <w:sz w:val="24"/>
          <w:szCs w:val="32"/>
          <w:lang w:val="en-US" w:eastAsia="zh-CN"/>
        </w:rPr>
      </w:pPr>
      <w:r>
        <w:rPr>
          <w:rFonts w:hint="eastAsia"/>
          <w:b/>
          <w:bCs/>
          <w:sz w:val="24"/>
          <w:szCs w:val="32"/>
          <w:lang w:val="en-US" w:eastAsia="zh-CN"/>
        </w:rPr>
        <w:t>总的设计工艺和方案要求：</w:t>
      </w:r>
    </w:p>
    <w:p>
      <w:pPr>
        <w:widowControl w:val="0"/>
        <w:numPr>
          <w:ilvl w:val="0"/>
          <w:numId w:val="0"/>
        </w:numPr>
        <w:ind w:leftChars="0" w:firstLine="420" w:firstLineChars="0"/>
        <w:jc w:val="left"/>
        <w:rPr>
          <w:rFonts w:hint="eastAsia"/>
          <w:b w:val="0"/>
          <w:bCs w:val="0"/>
          <w:sz w:val="24"/>
          <w:szCs w:val="32"/>
          <w:lang w:val="en-US" w:eastAsia="zh-CN"/>
        </w:rPr>
      </w:pPr>
      <w:r>
        <w:rPr>
          <w:rFonts w:hint="default"/>
          <w:b w:val="0"/>
          <w:bCs w:val="0"/>
          <w:sz w:val="24"/>
          <w:szCs w:val="32"/>
          <w:lang w:val="en-US" w:eastAsia="zh-CN"/>
        </w:rPr>
        <w:t>2.1光伏供电质量要求</w:t>
      </w:r>
      <w:r>
        <w:rPr>
          <w:rFonts w:hint="eastAsia"/>
          <w:b w:val="0"/>
          <w:bCs w:val="0"/>
          <w:sz w:val="24"/>
          <w:szCs w:val="32"/>
          <w:lang w:val="en-US" w:eastAsia="zh-CN"/>
        </w:rPr>
        <w:t>：</w:t>
      </w:r>
      <w:r>
        <w:rPr>
          <w:rFonts w:hint="default"/>
          <w:b w:val="0"/>
          <w:bCs w:val="0"/>
          <w:sz w:val="24"/>
          <w:szCs w:val="32"/>
          <w:lang w:val="en-US" w:eastAsia="zh-CN"/>
        </w:rPr>
        <w:t>保证光伏系统产生的交流电能满足电网的要求，并确保不对招标方的生产、试验等环节产生不良影响，保证系统的运行安全性和可靠性</w:t>
      </w:r>
      <w:r>
        <w:rPr>
          <w:rFonts w:hint="eastAsia"/>
          <w:b w:val="0"/>
          <w:bCs w:val="0"/>
          <w:sz w:val="24"/>
          <w:szCs w:val="32"/>
          <w:lang w:val="en-US" w:eastAsia="zh-CN"/>
        </w:rPr>
        <w:t>。</w:t>
      </w:r>
    </w:p>
    <w:p>
      <w:pPr>
        <w:widowControl w:val="0"/>
        <w:numPr>
          <w:ilvl w:val="0"/>
          <w:numId w:val="0"/>
        </w:numPr>
        <w:ind w:leftChars="0" w:firstLine="420" w:firstLineChars="0"/>
        <w:jc w:val="left"/>
        <w:rPr>
          <w:rFonts w:hint="eastAsia"/>
          <w:b w:val="0"/>
          <w:bCs w:val="0"/>
          <w:sz w:val="24"/>
          <w:szCs w:val="32"/>
          <w:lang w:val="en-US" w:eastAsia="zh-CN"/>
        </w:rPr>
      </w:pPr>
      <w:r>
        <w:rPr>
          <w:rFonts w:hint="default"/>
          <w:b w:val="0"/>
          <w:bCs w:val="0"/>
          <w:sz w:val="24"/>
          <w:szCs w:val="32"/>
          <w:lang w:val="en-US" w:eastAsia="zh-CN"/>
        </w:rPr>
        <w:t>2.1.1光伏系统向电网发送电能的质量应受控，在电压、频率、谐波(含量&lt;3%,下同)和功率因数方面应满足实用要求并符合国家及行业相关标准。出现偏离标准(电压凹陷、瞬断等)的越线情况，应将光伏系统与电网分离。保证所有电能质量参数(电压、频率、谐波等)在光伏系统电网接口处实时显示</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2.1.2 工作电压</w:t>
      </w:r>
      <w:r>
        <w:rPr>
          <w:rFonts w:hint="eastAsia"/>
          <w:b w:val="0"/>
          <w:bCs w:val="0"/>
          <w:sz w:val="24"/>
          <w:szCs w:val="32"/>
          <w:lang w:val="en-US" w:eastAsia="zh-CN"/>
        </w:rPr>
        <w:t>：</w:t>
      </w:r>
      <w:r>
        <w:rPr>
          <w:rFonts w:hint="default"/>
          <w:b w:val="0"/>
          <w:bCs w:val="0"/>
          <w:sz w:val="24"/>
          <w:szCs w:val="32"/>
          <w:lang w:val="en-US" w:eastAsia="zh-CN"/>
        </w:rPr>
        <w:t>三相电压允许在电网电压的2%以内。当光伏系统电网接口处电压超出规定的电压范围时，过、欠电压±5%时保护应在1-2s内动作,自动将光伏系统与电网断开。</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2.1.3工作频率</w:t>
      </w:r>
      <w:r>
        <w:rPr>
          <w:rFonts w:hint="eastAsia"/>
          <w:b w:val="0"/>
          <w:bCs w:val="0"/>
          <w:sz w:val="24"/>
          <w:szCs w:val="32"/>
          <w:lang w:val="en-US" w:eastAsia="zh-CN"/>
        </w:rPr>
        <w:t>：</w:t>
      </w:r>
      <w:r>
        <w:rPr>
          <w:rFonts w:hint="default"/>
          <w:b w:val="0"/>
          <w:bCs w:val="0"/>
          <w:sz w:val="24"/>
          <w:szCs w:val="32"/>
          <w:lang w:val="en-US" w:eastAsia="zh-CN"/>
        </w:rPr>
        <w:t>电网额定频率为50HZ。当光伏系统电网接口处频率超出规定的频率范围时，过、欠频率45HZ-55HZ以外保护应在1-2s内动作,将光伏系统与电网断开。</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2.1.4 谐波</w:t>
      </w:r>
      <w:r>
        <w:rPr>
          <w:rFonts w:hint="eastAsia"/>
          <w:b w:val="0"/>
          <w:bCs w:val="0"/>
          <w:sz w:val="24"/>
          <w:szCs w:val="32"/>
          <w:lang w:val="en-US" w:eastAsia="zh-CN"/>
        </w:rPr>
        <w:t>：</w:t>
      </w:r>
      <w:r>
        <w:rPr>
          <w:rFonts w:hint="default"/>
          <w:b w:val="0"/>
          <w:bCs w:val="0"/>
          <w:sz w:val="24"/>
          <w:szCs w:val="32"/>
          <w:lang w:val="en-US" w:eastAsia="zh-CN"/>
        </w:rPr>
        <w:t>光伏系统在额定输出时，电流总谐波畸变率限值为4%，各次谐波电流含有率限值为&lt;3%。</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2.1.5功率因数</w:t>
      </w:r>
      <w:r>
        <w:rPr>
          <w:rFonts w:hint="eastAsia"/>
          <w:b w:val="0"/>
          <w:bCs w:val="0"/>
          <w:sz w:val="24"/>
          <w:szCs w:val="32"/>
          <w:lang w:val="en-US" w:eastAsia="zh-CN"/>
        </w:rPr>
        <w:t>：</w:t>
      </w:r>
      <w:r>
        <w:rPr>
          <w:rFonts w:hint="default"/>
          <w:b w:val="0"/>
          <w:bCs w:val="0"/>
          <w:sz w:val="24"/>
          <w:szCs w:val="32"/>
          <w:lang w:val="en-US" w:eastAsia="zh-CN"/>
        </w:rPr>
        <w:t>当光伏系统中逆变器的输出小于额定输出，平均功率因数应不小于0.95。当光伏系统中逆变器的输出大于额定输出20%时，平均功率因数应不小于0.92。</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2.1.6电压不平衡度</w:t>
      </w:r>
      <w:r>
        <w:rPr>
          <w:rFonts w:hint="eastAsia"/>
          <w:b w:val="0"/>
          <w:bCs w:val="0"/>
          <w:sz w:val="24"/>
          <w:szCs w:val="32"/>
          <w:lang w:val="en-US" w:eastAsia="zh-CN"/>
        </w:rPr>
        <w:t>：</w:t>
      </w:r>
      <w:r>
        <w:rPr>
          <w:rFonts w:hint="default"/>
          <w:b w:val="0"/>
          <w:bCs w:val="0"/>
          <w:sz w:val="24"/>
          <w:szCs w:val="32"/>
          <w:lang w:val="en-US" w:eastAsia="zh-CN"/>
        </w:rPr>
        <w:t>电网公共连接点处的三相电压不平衡度允许值为0.5%，短时不得超过1%。</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2.2 投标方(中标方)的设计方案和工艺合理，需要满足厂房结构安全性及厂房屋面材料的完整性:保证光伏发电系统运行安全性、防火性、可靠性和运行质量。</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2.2.1投标方(中标方)需对招标方厂房进行结构评估，核算厂房承重施工要求，同时，施工方案必须</w:t>
      </w:r>
      <w:r>
        <w:rPr>
          <w:rFonts w:hint="eastAsia"/>
          <w:b w:val="0"/>
          <w:bCs w:val="0"/>
          <w:sz w:val="24"/>
          <w:szCs w:val="32"/>
          <w:lang w:val="en-US" w:eastAsia="zh-CN"/>
        </w:rPr>
        <w:t>以</w:t>
      </w:r>
      <w:r>
        <w:rPr>
          <w:rFonts w:hint="default"/>
          <w:b w:val="0"/>
          <w:bCs w:val="0"/>
          <w:sz w:val="24"/>
          <w:szCs w:val="32"/>
          <w:lang w:val="en-US" w:eastAsia="zh-CN"/>
        </w:rPr>
        <w:t>不破坏屋面为前提。</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2.2.2加固方案必须有经营资质的设计单位复核验算，结构受力满足安全要求。</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2.2.3 屋面光伏板安装不能采用钻孔等破坏原屋面板的施工方法。</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2.2.4投标方(中标方)方案必须针对现有厂房情况进行充分了解，包含屋面设备避让。</w:t>
      </w:r>
    </w:p>
    <w:p>
      <w:pPr>
        <w:widowControl w:val="0"/>
        <w:numPr>
          <w:ilvl w:val="0"/>
          <w:numId w:val="0"/>
        </w:numPr>
        <w:ind w:firstLine="420" w:firstLineChars="0"/>
        <w:jc w:val="left"/>
        <w:rPr>
          <w:rFonts w:hint="eastAsia"/>
          <w:b w:val="0"/>
          <w:bCs w:val="0"/>
          <w:sz w:val="24"/>
          <w:szCs w:val="32"/>
          <w:lang w:val="en-US" w:eastAsia="zh-CN"/>
        </w:rPr>
      </w:pPr>
      <w:r>
        <w:rPr>
          <w:rFonts w:hint="default"/>
          <w:b w:val="0"/>
          <w:bCs w:val="0"/>
          <w:sz w:val="24"/>
          <w:szCs w:val="32"/>
          <w:lang w:val="en-US" w:eastAsia="zh-CN"/>
        </w:rPr>
        <w:t>2.3 保证光伏系统满足国家及行业相关标准的要求。所适用的标准包括但不限于如下，对于标准的适用性以及标准版本的适用性，存在疑问时需书面提出异议，得到招标方书面认可后方可进行变更</w:t>
      </w:r>
      <w:r>
        <w:rPr>
          <w:rFonts w:hint="eastAsia"/>
          <w:b w:val="0"/>
          <w:bCs w:val="0"/>
          <w:sz w:val="24"/>
          <w:szCs w:val="32"/>
          <w:lang w:val="en-US" w:eastAsia="zh-CN"/>
        </w:rPr>
        <w: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1702"/>
        <w:gridCol w:w="5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序号</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标准号</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1</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19939</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光伏系统并网技术要求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2</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19964</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光伏发电站接入电力系统技术规定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3</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29319</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光伏发电系统接入配电网技术规定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4</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29321</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光伏发电站无功补偿技术规范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5</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30152</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光伏发电系统接入配电网检测规程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6</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GB/T 50794</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光伏发电站施工规范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7</w:t>
            </w:r>
          </w:p>
        </w:tc>
        <w:tc>
          <w:tcPr>
            <w:tcW w:w="1702" w:type="dxa"/>
            <w:vAlign w:val="top"/>
          </w:tcPr>
          <w:p>
            <w:pPr>
              <w:widowControl w:val="0"/>
              <w:numPr>
                <w:ilvl w:val="0"/>
                <w:numId w:val="0"/>
              </w:numPr>
              <w:ind w:left="0" w:leftChars="0" w:firstLine="0" w:firstLineChars="0"/>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50795</w:t>
            </w:r>
          </w:p>
        </w:tc>
        <w:tc>
          <w:tcPr>
            <w:tcW w:w="5393" w:type="dxa"/>
            <w:vAlign w:val="top"/>
          </w:tcPr>
          <w:p>
            <w:pPr>
              <w:widowControl w:val="0"/>
              <w:numPr>
                <w:ilvl w:val="0"/>
                <w:numId w:val="0"/>
              </w:numPr>
              <w:ind w:left="0" w:leftChars="0" w:firstLine="0" w:firstLineChars="0"/>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光伏发电工程施工组织设计规范(附条文说明)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8</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50796</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光伏发电工程验收规范(附条文说明)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9</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50865</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光伏发电接入配电网设计规范(附条文说明)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10</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GB/T 50866</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光伏发电站接入电力系统设计规范(附条文说明)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11</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NB/T 32016</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并网光伏发电监控系统技术规范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12</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default"/>
                <w:b w:val="0"/>
                <w:bCs w:val="0"/>
                <w:sz w:val="24"/>
                <w:szCs w:val="32"/>
                <w:vertAlign w:val="baseline"/>
                <w:lang w:val="en-US" w:eastAsia="zh-CN"/>
              </w:rPr>
              <w:t xml:space="preserve">NB/T </w:t>
            </w:r>
            <w:r>
              <w:rPr>
                <w:rFonts w:hint="eastAsia"/>
                <w:b w:val="0"/>
                <w:bCs w:val="0"/>
                <w:sz w:val="24"/>
                <w:szCs w:val="32"/>
                <w:vertAlign w:val="baseline"/>
                <w:lang w:val="en-US" w:eastAsia="zh-CN"/>
              </w:rPr>
              <w:t>10115</w:t>
            </w:r>
          </w:p>
        </w:tc>
        <w:tc>
          <w:tcPr>
            <w:tcW w:w="5393"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光伏支架结构设计规程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13</w:t>
            </w:r>
          </w:p>
        </w:tc>
        <w:tc>
          <w:tcPr>
            <w:tcW w:w="1702" w:type="dxa"/>
          </w:tcPr>
          <w:p>
            <w:pPr>
              <w:widowControl w:val="0"/>
              <w:numPr>
                <w:ilvl w:val="0"/>
                <w:numId w:val="0"/>
              </w:numPr>
              <w:jc w:val="left"/>
              <w:rPr>
                <w:rFonts w:hint="default"/>
                <w:b w:val="0"/>
                <w:bCs w:val="0"/>
                <w:sz w:val="24"/>
                <w:szCs w:val="32"/>
                <w:vertAlign w:val="baseline"/>
                <w:lang w:val="en-US" w:eastAsia="zh-CN"/>
              </w:rPr>
            </w:pPr>
            <w:r>
              <w:rPr>
                <w:rFonts w:hint="eastAsia"/>
                <w:b w:val="0"/>
                <w:bCs w:val="0"/>
                <w:sz w:val="24"/>
                <w:szCs w:val="32"/>
                <w:vertAlign w:val="baseline"/>
                <w:lang w:val="en-US" w:eastAsia="zh-CN"/>
              </w:rPr>
              <w:t>GB/T</w:t>
            </w:r>
            <w:r>
              <w:rPr>
                <w:rFonts w:hint="default"/>
                <w:b w:val="0"/>
                <w:bCs w:val="0"/>
                <w:sz w:val="24"/>
                <w:szCs w:val="32"/>
                <w:vertAlign w:val="baseline"/>
                <w:lang w:val="en-US" w:eastAsia="zh-CN"/>
              </w:rPr>
              <w:t xml:space="preserve"> 50169</w:t>
            </w:r>
          </w:p>
        </w:tc>
        <w:tc>
          <w:tcPr>
            <w:tcW w:w="5393" w:type="dxa"/>
          </w:tcPr>
          <w:p>
            <w:pPr>
              <w:widowControl w:val="0"/>
              <w:numPr>
                <w:ilvl w:val="0"/>
                <w:numId w:val="0"/>
              </w:numPr>
              <w:jc w:val="left"/>
              <w:rPr>
                <w:rFonts w:hint="eastAsia"/>
                <w:b w:val="0"/>
                <w:bCs w:val="0"/>
                <w:sz w:val="24"/>
                <w:szCs w:val="32"/>
                <w:vertAlign w:val="baseline"/>
                <w:lang w:val="en-US" w:eastAsia="zh-CN"/>
              </w:rPr>
            </w:pPr>
            <w:r>
              <w:rPr>
                <w:rFonts w:hint="eastAsia"/>
                <w:b w:val="0"/>
                <w:bCs w:val="0"/>
                <w:sz w:val="24"/>
                <w:szCs w:val="32"/>
                <w:vertAlign w:val="baseline"/>
                <w:lang w:val="en-US" w:eastAsia="zh-CN"/>
              </w:rPr>
              <w:t>电气装置安装工程 接地装置施工及验收规范</w:t>
            </w:r>
          </w:p>
        </w:tc>
      </w:tr>
    </w:tbl>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2.4保证光伏系统有合适的衰减率，晶体硅光伏组件第1年内输出功率衰减率不高于2%，后每年功率衰减率不高于0.55%，并提供组件衰减率附表。</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2.5因为投标方(中标方)施工质量不佳、设计纰漏、运行维护不当、投标方(中标方)设备质量等因素导致招标方损失时，投标方(中标方)应赔偿招标方的损失。</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2.6光伏项目根据招标方用电情况及厂区供电设施，光伏项目的接入应避免现有供电系统用电不均衡影响,具体以供电局审核的接入方案为准，不作限制性要求。投标方(中标方)需确保本项目电能质量符合电能质量国家标准，系统接入性能应满足光伏电站接入电网技术规定要求，保证招标方电气设备的安全运行。</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2.7 施工材料及施工工艺必须满足国标、施工规范及招标方的要求。严格按国家现行规范、标准进行施工，特殊施工工艺，必须达到设计要求。工程质量应达到国家或专业的质量检验评定标准的合格条件，达不到约定条件的部分，招标方代表一经发现，要求投标方(中标方)返工,投标方(中标方)应按招标方代表要求返工，直到符合约定条件。因投标方(中标方)原因达不到约定条件，由投标方(中标方)承担返工费用，工期不予顺延。返工后仍不能达到约定条件，投标方(中标方)承担违约责任。</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2.8投标方(中标方)按施工图组织施工，若施工过程中，投标方(中标方)对原设计提出设计修改、材料更换、颜色调整等事项，应首先征得招标方同意，并按有关规定办理变更手续。</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2.9投标方(中标方)必须做到安全生产、文明施工、不得影响招标方正常生产业务开展及安防等规章制度要求，严格按照当地建设行政主管部门有关规定执行。严格执行当地建设有关环保、市容、道路交通、人口管理等规定。施工期间统一工装，佩戴施工证件，接受招标方有关部门的管理，如不服从上述部门和招标方的管理，而产生的一切民事、行政、刑事责任均由投标方(中标方)承担。</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2.10施工现场施工安全责任由投标方(中标方)全权负责。投标方(中标方)必须严格遵守招标方的安全环境管理规定，并配备有安全监管岗位人员，加强施工现场安全管理，对所有施工人员进行安全意识教育与培训，如发生事故均由投标方(中标方)负责，投标方(中标方)应保证原有设施的完好，如有损坏必须按原购置价赔偿。施工现场安全责任由投标方(中标方)全权负责。投标方(中标方)应足额、有效、全面投保建筑工程一切险及其他有关人身和财产保险，并提供缴纳保险凭据给招标方。</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2.11 各工序操作的技术人员和技术工人应持有岗位合格证书，保证上岗操作人员具备必要的专业知识和技能，以切实保证施工质量。投标方(中标方)必须建立健全施工质量检验制度和成品保护制度，严格工序管理，做好隐蔽工程的质量检查和记录。隐蔽工程在隐蔽前,投标方(中标方)应当经招标方代表签字验收后方可进行下一道工序施工。</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2.12 验收计量，光伏项目采用合同能源管理方式建设，投标方(中标方)投资建设，并负责前期项目设计、申报、中期建设、验收、后期运营维护，招标方仅提供厂房屋顶及协助提供申报所需资料，无需提供其他任何资金投入。光伏投入运营后在约定年限最大程度消纳光伏发电，按合同价格支付用电费用，双方共享收益。综上建设方式，投标方(中标方)负责项目达到技术验收标准，并投入使用。电费计量方案、设备需符合国家用电规定，所提供的计量器具的准确度等级与检定证书，需符合《GB 17167用能单位能源计量器具配备和管理通则》，结算电表采用双表计计量，并通过当地质监、供电等相关部门的检验、验收。</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2.13 后期运营维护:项目投入使用后，投标方(中标方)按合同规定年限提供后期运营维护以及相关人员、费用投入，并免费培训招标方相关人员。</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2.14项目运行监控及企业宣传:光伏项目作为国家鼓励建设，双方共享鼓励政策，并进行企业宣传。投标方(中标方)在设计方案中提供项目运营监控方案，并兼顾企业宣传展示方案。</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2.15本招标文件和图纸中未提及的要求，均应按现行的国家、省、市的最优标准或规范(规定)执行。</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2.16对于部分项目处于属于台风影响区域，设计时须考虑相应的防护对策。</w:t>
      </w:r>
    </w:p>
    <w:p>
      <w:pPr>
        <w:widowControl w:val="0"/>
        <w:numPr>
          <w:ilvl w:val="0"/>
          <w:numId w:val="0"/>
        </w:numPr>
        <w:ind w:left="420" w:leftChars="0"/>
        <w:jc w:val="left"/>
        <w:rPr>
          <w:rFonts w:hint="eastAsia"/>
          <w:b/>
          <w:bCs/>
          <w:sz w:val="24"/>
          <w:szCs w:val="32"/>
          <w:lang w:val="en-US" w:eastAsia="zh-CN"/>
        </w:rPr>
      </w:pPr>
      <w:r>
        <w:rPr>
          <w:rFonts w:hint="eastAsia"/>
          <w:b/>
          <w:bCs/>
          <w:sz w:val="24"/>
          <w:szCs w:val="32"/>
          <w:lang w:val="en-US" w:eastAsia="zh-CN"/>
        </w:rPr>
        <w:t>3、主要性能保证</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投标方(中标方)应根据光伏组件及设备的选用情况，报出以下主要性能保证值</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(1)晶体硅光伏组件光电转化效率≥21%(以组件边框面积计算转换效率)</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(2)光伏组件峰瓦功差满足0W~+5W</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(3)晶体硅光伏组件第1年内输出功率衰减率不高于2%，后每年输出功率衰减率不高于0.55%</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(4)逆变器效率:最高转换效率</w:t>
      </w:r>
      <w:r>
        <w:rPr>
          <w:rFonts w:hint="eastAsia"/>
          <w:b w:val="0"/>
          <w:bCs w:val="0"/>
          <w:sz w:val="24"/>
          <w:szCs w:val="32"/>
          <w:lang w:val="en-US" w:eastAsia="zh-CN"/>
        </w:rPr>
        <w:t>：</w:t>
      </w:r>
      <w:r>
        <w:rPr>
          <w:rFonts w:hint="default"/>
          <w:b w:val="0"/>
          <w:bCs w:val="0"/>
          <w:sz w:val="24"/>
          <w:szCs w:val="32"/>
          <w:lang w:val="en-US" w:eastAsia="zh-CN"/>
        </w:rPr>
        <w:t>98.6%</w:t>
      </w:r>
      <w:r>
        <w:rPr>
          <w:rFonts w:hint="eastAsia"/>
          <w:b w:val="0"/>
          <w:bCs w:val="0"/>
          <w:sz w:val="24"/>
          <w:szCs w:val="32"/>
          <w:lang w:val="en-US" w:eastAsia="zh-CN"/>
        </w:rPr>
        <w:t>；</w:t>
      </w:r>
      <w:r>
        <w:rPr>
          <w:rFonts w:hint="default"/>
          <w:b w:val="0"/>
          <w:bCs w:val="0"/>
          <w:sz w:val="24"/>
          <w:szCs w:val="32"/>
          <w:lang w:val="en-US" w:eastAsia="zh-CN"/>
        </w:rPr>
        <w:t>综合效率</w:t>
      </w:r>
      <w:r>
        <w:rPr>
          <w:rFonts w:hint="eastAsia"/>
          <w:b w:val="0"/>
          <w:bCs w:val="0"/>
          <w:sz w:val="24"/>
          <w:szCs w:val="32"/>
          <w:lang w:val="en-US" w:eastAsia="zh-CN"/>
        </w:rPr>
        <w:t>：</w:t>
      </w:r>
      <w:r>
        <w:rPr>
          <w:rFonts w:hint="default"/>
          <w:b w:val="0"/>
          <w:bCs w:val="0"/>
          <w:sz w:val="24"/>
          <w:szCs w:val="32"/>
          <w:lang w:val="en-US" w:eastAsia="zh-CN"/>
        </w:rPr>
        <w:t>98.2%</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(5)系统总效率:≥80%。</w:t>
      </w:r>
    </w:p>
    <w:p>
      <w:pPr>
        <w:widowControl w:val="0"/>
        <w:numPr>
          <w:ilvl w:val="0"/>
          <w:numId w:val="0"/>
        </w:numPr>
        <w:ind w:leftChars="0" w:firstLine="420" w:firstLineChars="0"/>
        <w:jc w:val="left"/>
        <w:rPr>
          <w:rFonts w:hint="default"/>
          <w:b/>
          <w:bCs/>
          <w:sz w:val="24"/>
          <w:szCs w:val="32"/>
          <w:lang w:val="en-US" w:eastAsia="zh-CN"/>
        </w:rPr>
      </w:pPr>
      <w:r>
        <w:rPr>
          <w:rFonts w:hint="default"/>
          <w:b/>
          <w:bCs/>
          <w:sz w:val="24"/>
          <w:szCs w:val="32"/>
          <w:lang w:val="en-US" w:eastAsia="zh-CN"/>
        </w:rPr>
        <w:t>3.1组件主要性能、参数及配置</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(1)主要性能</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太阳电池组件为室外安装发电设备，是光伏电站的核心设备，要求具有非常好的耐侯性，能在室外严酷的环境下长期稳定可靠地运行，同时具有高的转换效率。</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本项目采用单晶硅电池组件，必须从国内优质供应商择优选定。</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光伏组件作为光伏电站的主要设备应当提供具有GB/T9535(或IEC61215)和</w:t>
      </w:r>
    </w:p>
    <w:p>
      <w:pPr>
        <w:widowControl w:val="0"/>
        <w:numPr>
          <w:ilvl w:val="0"/>
          <w:numId w:val="0"/>
        </w:numPr>
        <w:jc w:val="left"/>
        <w:rPr>
          <w:rFonts w:hint="default"/>
          <w:b w:val="0"/>
          <w:bCs w:val="0"/>
          <w:sz w:val="24"/>
          <w:szCs w:val="32"/>
          <w:lang w:val="en-US" w:eastAsia="zh-CN"/>
        </w:rPr>
      </w:pPr>
      <w:r>
        <w:rPr>
          <w:rFonts w:hint="default"/>
          <w:b w:val="0"/>
          <w:bCs w:val="0"/>
          <w:sz w:val="24"/>
          <w:szCs w:val="32"/>
          <w:lang w:val="en-US" w:eastAsia="zh-CN"/>
        </w:rPr>
        <w:t>GB/T18911(或IEC61646)标准要求，通过国际、国内国家认证机构的认证。</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光伏组件应严格按照上述标准、规范及规程进行各种可靠性实验测试。</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光伏组件的光电转换效率≥21%(以组件边框面积计算转换效率)。</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光伏组件产品供应商应通过国内、外权威部门的认证，拥有CQG、CGC认证证书，符合国家强制性标准要求。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光伏组件采用先进、可靠的加工制造技术，结构合理，可靠性高，能耗低，不污染环境，维护保养简便，投标方(中标方)要对光伏组件板外表面板的清洁、防热斑提供措施。</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光伏组件各部件在正常工况下应能安全、持续运行，不应有过度的应力、温升、腐蚀、老化等问题。</w:t>
      </w:r>
    </w:p>
    <w:p>
      <w:pPr>
        <w:widowControl w:val="0"/>
        <w:numPr>
          <w:ilvl w:val="0"/>
          <w:numId w:val="0"/>
        </w:numPr>
        <w:ind w:leftChars="0" w:firstLine="420" w:firstLineChars="0"/>
        <w:jc w:val="left"/>
        <w:rPr>
          <w:rFonts w:hint="eastAsia"/>
          <w:b w:val="0"/>
          <w:bCs w:val="0"/>
          <w:sz w:val="24"/>
          <w:szCs w:val="32"/>
          <w:lang w:val="en-US" w:eastAsia="zh-CN"/>
        </w:rPr>
      </w:pPr>
      <w:r>
        <w:rPr>
          <w:rFonts w:hint="default"/>
          <w:b w:val="0"/>
          <w:bCs w:val="0"/>
          <w:sz w:val="24"/>
          <w:szCs w:val="32"/>
          <w:lang w:val="en-US" w:eastAsia="zh-CN"/>
        </w:rPr>
        <w:t>在标准试验条件下(即:大气质量AM=1.5,辐照度1000W/m2，电池工作温度为25±2℃，标准太阳光谱辐照度分布符合GB/T 6495.3规定)，光伏组件的实际输出功率必须在标称功率(0W~+5W)偏差范围内</w:t>
      </w:r>
      <w:r>
        <w:rPr>
          <w:rFonts w:hint="eastAsia"/>
          <w:b w:val="0"/>
          <w:bCs w:val="0"/>
          <w:sz w:val="24"/>
          <w:szCs w:val="32"/>
          <w:lang w:val="en-US" w:eastAsia="zh-CN"/>
        </w:rPr>
        <w:t>。</w:t>
      </w:r>
    </w:p>
    <w:p>
      <w:pPr>
        <w:widowControl w:val="0"/>
        <w:numPr>
          <w:ilvl w:val="0"/>
          <w:numId w:val="0"/>
        </w:numPr>
        <w:ind w:leftChars="0" w:firstLine="420" w:firstLineChars="0"/>
        <w:jc w:val="left"/>
        <w:rPr>
          <w:rFonts w:hint="eastAsia"/>
          <w:b w:val="0"/>
          <w:bCs w:val="0"/>
          <w:sz w:val="24"/>
          <w:szCs w:val="32"/>
          <w:lang w:val="en-US" w:eastAsia="zh-CN"/>
        </w:rPr>
      </w:pPr>
      <w:r>
        <w:rPr>
          <w:rFonts w:hint="eastAsia"/>
          <w:b w:val="0"/>
          <w:bCs w:val="0"/>
          <w:sz w:val="24"/>
          <w:szCs w:val="32"/>
          <w:lang w:val="en-US" w:eastAsia="zh-CN"/>
        </w:rPr>
        <w:t>光伏组件防护等级不低于IP66。</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每块光伏组件应带有正负出线、正负极连接头和旁路二极管(防止组件热斑故障)。自带的串联所使用的电缆线应满足抗紫外线、抗老化、抗高温、防腐蚀和阻燃等性能要求，选用双绝缘防紫外线阻燃铜芯电缆，电缆性能符合GB/T18950性能测试的要求;接线盒(引线盒)应密封防水、散热性好并连接牢固，引线极性标记准确、明显，采用满足IEC标准的电气连接:采用工业防水耐温快速接插件，接插件防锈、防腐蚀等性能要求，并应满足符合相关国家和行业规范规程，满足不少于25年室外使用的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(2)光伏组件安装方案:</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要求同一光伏发电单元内光伏组件的电池片需为同一批次原料，表面颜色均匀一致，无机械损伤，焊点无氧化斑，电池组件的I-V曲线基本相同。</w:t>
      </w:r>
    </w:p>
    <w:p>
      <w:pPr>
        <w:widowControl w:val="0"/>
        <w:numPr>
          <w:ilvl w:val="0"/>
          <w:numId w:val="0"/>
        </w:numPr>
        <w:ind w:leftChars="0" w:firstLine="420" w:firstLineChars="0"/>
        <w:jc w:val="left"/>
        <w:rPr>
          <w:rFonts w:hint="default"/>
          <w:b w:val="0"/>
          <w:bCs w:val="0"/>
          <w:sz w:val="24"/>
          <w:szCs w:val="32"/>
          <w:lang w:val="en-US" w:eastAsia="zh-CN"/>
        </w:rPr>
      </w:pPr>
      <w:r>
        <w:rPr>
          <w:rFonts w:hint="default"/>
          <w:b/>
          <w:bCs/>
          <w:sz w:val="24"/>
          <w:szCs w:val="32"/>
          <w:lang w:val="en-US" w:eastAsia="zh-CN"/>
        </w:rPr>
        <w:t>3.2逆变器技术要求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并网逆变器(下称逆变器)是光伏发电系统中的核心设备，必须采用高品质性能良好的成熟产品。逆变器将光伏方阵产生的直流电(DC)逆变为三相正弦交流电(AC)，输出符合电网要求的电能。逆变器应该满足以下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(1)逆变器必须从国内优质供应商择优选定。</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(2)并网逆变器的功率因数和电能质量应满足中国电网要求，各项性能指标满足国家电网的《光伏电站接入电网技术规定》(Q/GDW617)、《光伏电站接入电网测试规程》(Q/GDW618)和随时生效的规定的要求。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(3)逆变器额定功率应满足用于本项目要求，其内绝缘等电气性能满足要求。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(4)逆变器的安装应简便，无特殊性要求。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(5)逆变器应采用太阳电池组件最大功率跟踪技术(MPPT)。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(6)逆变器要求采用国内、外成熟、先进的产品，逆变器要按照CNCA/CTS004认证技术规范要求，拥有CQC认证证书。</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(7)逆变器要求能够自动化运行，运行状态可视化程度高。显示屏可清晰显示实时各项运行数据，实时故障数据，历史故障数据，总发电量数据，历史发电量(按月、按年查询)数据。</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(8)逆变器要求具有故障数据自动记录存储功能，数据存储于光伏电站就地监控系统的计算机内，存储数据时间大于2年。</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(9)逆变器本体要求具有直流输入分断开关，紧急停机操作开关</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(10)逆变器应具有极性反接保护、短路保护、孤岛效应保护、过温保护、交流过流及直流过流保护、直流母线过电压保护、电网断电、电网过欠压、电网过欠频、光伏阵列及逆变器本身的接地检测及保护功能等，并相应给出各保护功能动作的条件和工况(即何时保护动作、保护时间、自恢复时间等)。</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(11)逆变器是光伏电站的主要设备，应当提供具有ISO 导则25资质的专业测试机构出具的符合国家标准(或IEC标准)的测试报告(有国家标准或IEC标准的应给出标准号)。</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(12)逆变器应具有通讯接口，能将相关的测量保护信号上传至监控系统，并能实现远方控制。</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(13)逆变器具有低电压穿越功能，承包方需提供符合验收要求的逆变器低(零)电压穿越报告。</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(14)逆变器与变压器参数要合理匹配，运行噪声:≤60dB,平均无故障时间:≥5年，使用寿命:25年安全可靠运行。</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(15)防雷能力</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逆变器应具有防雷装置，具备雷击防护告警功能(最大放电电流不小于40kA,标称放电电流不小于20kA，残压小于1kV):防浪涌能力，能承受模拟雷击电压波形10/700us</w:t>
      </w:r>
      <w:r>
        <w:rPr>
          <w:rFonts w:hint="eastAsia"/>
          <w:b w:val="0"/>
          <w:bCs w:val="0"/>
          <w:sz w:val="24"/>
          <w:szCs w:val="32"/>
          <w:lang w:val="en-US" w:eastAsia="zh-CN"/>
        </w:rPr>
        <w:t>，</w:t>
      </w:r>
      <w:r>
        <w:rPr>
          <w:rFonts w:hint="default"/>
          <w:b w:val="0"/>
          <w:bCs w:val="0"/>
          <w:sz w:val="24"/>
          <w:szCs w:val="32"/>
          <w:lang w:val="en-US" w:eastAsia="zh-CN"/>
        </w:rPr>
        <w:t>幅值为5kV的冲击5次，模拟雷击电流波形8/20us</w:t>
      </w:r>
      <w:r>
        <w:rPr>
          <w:rFonts w:hint="eastAsia"/>
          <w:b w:val="0"/>
          <w:bCs w:val="0"/>
          <w:sz w:val="24"/>
          <w:szCs w:val="32"/>
          <w:lang w:val="en-US" w:eastAsia="zh-CN"/>
        </w:rPr>
        <w:t>，</w:t>
      </w:r>
      <w:r>
        <w:rPr>
          <w:rFonts w:hint="default"/>
          <w:b w:val="0"/>
          <w:bCs w:val="0"/>
          <w:sz w:val="24"/>
          <w:szCs w:val="32"/>
          <w:lang w:val="en-US" w:eastAsia="zh-CN"/>
        </w:rPr>
        <w:t>幅值为20kA的冲击5次，每闪冲击间隔为1min</w:t>
      </w:r>
      <w:r>
        <w:rPr>
          <w:rFonts w:hint="eastAsia"/>
          <w:b w:val="0"/>
          <w:bCs w:val="0"/>
          <w:sz w:val="24"/>
          <w:szCs w:val="32"/>
          <w:lang w:val="en-US" w:eastAsia="zh-CN"/>
        </w:rPr>
        <w:t>，</w:t>
      </w:r>
      <w:r>
        <w:rPr>
          <w:rFonts w:hint="default"/>
          <w:b w:val="0"/>
          <w:bCs w:val="0"/>
          <w:sz w:val="24"/>
          <w:szCs w:val="32"/>
          <w:lang w:val="en-US" w:eastAsia="zh-CN"/>
        </w:rPr>
        <w:t>设备仍能够正常工作。</w:t>
      </w:r>
    </w:p>
    <w:p>
      <w:pPr>
        <w:widowControl w:val="0"/>
        <w:numPr>
          <w:ilvl w:val="0"/>
          <w:numId w:val="0"/>
        </w:numPr>
        <w:ind w:leftChars="0" w:firstLine="420" w:firstLineChars="0"/>
        <w:jc w:val="left"/>
        <w:rPr>
          <w:rFonts w:hint="default"/>
          <w:b/>
          <w:bCs/>
          <w:sz w:val="24"/>
          <w:szCs w:val="32"/>
          <w:lang w:val="en-US" w:eastAsia="zh-CN"/>
        </w:rPr>
      </w:pPr>
      <w:r>
        <w:rPr>
          <w:rFonts w:hint="default"/>
          <w:b/>
          <w:bCs/>
          <w:sz w:val="24"/>
          <w:szCs w:val="32"/>
          <w:lang w:val="en-US" w:eastAsia="zh-CN"/>
        </w:rPr>
        <w:t>3.3 电缆</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配电室、逆变器小室设置电缆沟道，电缆沟至设备电缆采用镀锌管防护。</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电缆选用原则:</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(1)</w:t>
      </w:r>
      <w:r>
        <w:rPr>
          <w:rFonts w:hint="default"/>
          <w:b w:val="0"/>
          <w:bCs w:val="0"/>
          <w:sz w:val="24"/>
          <w:szCs w:val="32"/>
          <w:lang w:val="en-US" w:eastAsia="zh-CN"/>
        </w:rPr>
        <w:t>高压出线电缆如采用单芯电缆须采用铠装电缆。</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(2)</w:t>
      </w:r>
      <w:r>
        <w:rPr>
          <w:rFonts w:hint="default"/>
          <w:b w:val="0"/>
          <w:bCs w:val="0"/>
          <w:sz w:val="24"/>
          <w:szCs w:val="32"/>
          <w:lang w:val="en-US" w:eastAsia="zh-CN"/>
        </w:rPr>
        <w:t>组串至逆变器的电缆使用光伏专用电缆。</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(3)</w:t>
      </w:r>
      <w:r>
        <w:rPr>
          <w:rFonts w:hint="default"/>
          <w:b w:val="0"/>
          <w:bCs w:val="0"/>
          <w:sz w:val="24"/>
          <w:szCs w:val="32"/>
          <w:lang w:val="en-US" w:eastAsia="zh-CN"/>
        </w:rPr>
        <w:t>进入计算机系统的控制电缆采用屏蔽电缆。</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(4)</w:t>
      </w:r>
      <w:r>
        <w:rPr>
          <w:rFonts w:hint="default"/>
          <w:b w:val="0"/>
          <w:bCs w:val="0"/>
          <w:sz w:val="24"/>
          <w:szCs w:val="32"/>
          <w:lang w:val="en-US" w:eastAsia="zh-CN"/>
        </w:rPr>
        <w:t>通讯电缆采用铠装屏蔽双绞线。</w:t>
      </w:r>
    </w:p>
    <w:p>
      <w:pPr>
        <w:widowControl w:val="0"/>
        <w:numPr>
          <w:ilvl w:val="0"/>
          <w:numId w:val="0"/>
        </w:numPr>
        <w:ind w:leftChars="0" w:firstLine="420" w:firstLineChars="0"/>
        <w:jc w:val="left"/>
        <w:rPr>
          <w:rFonts w:hint="eastAsia"/>
          <w:b w:val="0"/>
          <w:bCs w:val="0"/>
          <w:sz w:val="24"/>
          <w:szCs w:val="32"/>
          <w:lang w:val="en-US" w:eastAsia="zh-CN"/>
        </w:rPr>
      </w:pPr>
      <w:r>
        <w:rPr>
          <w:rFonts w:hint="eastAsia"/>
          <w:b w:val="0"/>
          <w:bCs w:val="0"/>
          <w:sz w:val="24"/>
          <w:szCs w:val="32"/>
          <w:lang w:val="en-US" w:eastAsia="zh-CN"/>
        </w:rPr>
        <w:t>(5)</w:t>
      </w:r>
      <w:r>
        <w:rPr>
          <w:rFonts w:hint="default"/>
          <w:b w:val="0"/>
          <w:bCs w:val="0"/>
          <w:sz w:val="24"/>
          <w:szCs w:val="32"/>
          <w:lang w:val="en-US" w:eastAsia="zh-CN"/>
        </w:rPr>
        <w:t>所有直埋电缆全部选用阻燃电缆</w:t>
      </w:r>
      <w:r>
        <w:rPr>
          <w:rFonts w:hint="eastAsia"/>
          <w:b w:val="0"/>
          <w:bCs w:val="0"/>
          <w:sz w:val="24"/>
          <w:szCs w:val="32"/>
          <w:lang w:val="en-US" w:eastAsia="zh-CN"/>
        </w:rPr>
        <w:t>。</w:t>
      </w:r>
    </w:p>
    <w:p>
      <w:pPr>
        <w:widowControl w:val="0"/>
        <w:numPr>
          <w:ilvl w:val="0"/>
          <w:numId w:val="0"/>
        </w:numPr>
        <w:ind w:leftChars="0" w:firstLine="420" w:firstLineChars="0"/>
        <w:jc w:val="left"/>
        <w:rPr>
          <w:rFonts w:hint="default"/>
          <w:b/>
          <w:bCs/>
          <w:sz w:val="24"/>
          <w:szCs w:val="32"/>
          <w:lang w:val="en-US" w:eastAsia="zh-CN"/>
        </w:rPr>
      </w:pPr>
      <w:r>
        <w:rPr>
          <w:rFonts w:hint="default"/>
          <w:b/>
          <w:bCs/>
          <w:sz w:val="24"/>
          <w:szCs w:val="32"/>
          <w:lang w:val="en-US" w:eastAsia="zh-CN"/>
        </w:rPr>
        <w:t>3.4 高压设备要求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高压设备以及低压并网柜设备的具体参数由设计单位根据电网公司接入系统审查意见内容来确定。高压设备若方案不涉及可不考虑。</w:t>
      </w:r>
    </w:p>
    <w:p>
      <w:pPr>
        <w:widowControl w:val="0"/>
        <w:numPr>
          <w:ilvl w:val="0"/>
          <w:numId w:val="0"/>
        </w:numPr>
        <w:ind w:leftChars="0" w:firstLine="420" w:firstLineChars="0"/>
        <w:jc w:val="left"/>
        <w:rPr>
          <w:rFonts w:hint="default"/>
          <w:b w:val="0"/>
          <w:bCs w:val="0"/>
          <w:sz w:val="24"/>
          <w:szCs w:val="32"/>
          <w:lang w:val="en-US" w:eastAsia="zh-CN"/>
        </w:rPr>
      </w:pPr>
      <w:r>
        <w:rPr>
          <w:rFonts w:hint="default"/>
          <w:b/>
          <w:bCs/>
          <w:sz w:val="24"/>
          <w:szCs w:val="32"/>
          <w:lang w:val="en-US" w:eastAsia="zh-CN"/>
        </w:rPr>
        <w:t>3.5 防雷和接地</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光伏组件采用支架直接接地的方式进行防雷保护，不设置独立防直击雷保护装置。</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在各级配电装置每组母线上安装一组避雷器以保护电气设备。在各电缆进线柜内安装一组避雷器以保护电气设备。</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本项目对保护接地、工作接地和过电压保护接地采用联合接地方式。在光伏发电场敷设一圈闭合的接地网，然后根据光伏阵列的排布，设置接地网格，形成一个总的闭合接地网。联合接地网为以水平均压网为主，并采用部分垂直接地极组成复合接地网。</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全站接地网接地电阻≤4Q，承包方在开展施工图设计前应根据土壤电阻率及流入电站的雷电流,对接地电阻进行校核。所有电池组件必须采用专用接地线将组件边框与支架直接连接，确保接地良好。</w:t>
      </w:r>
    </w:p>
    <w:p>
      <w:pPr>
        <w:widowControl w:val="0"/>
        <w:numPr>
          <w:ilvl w:val="0"/>
          <w:numId w:val="0"/>
        </w:numPr>
        <w:ind w:leftChars="0" w:firstLine="420" w:firstLineChars="0"/>
        <w:jc w:val="left"/>
        <w:rPr>
          <w:rFonts w:hint="eastAsia"/>
          <w:b w:val="0"/>
          <w:bCs w:val="0"/>
          <w:sz w:val="24"/>
          <w:szCs w:val="32"/>
          <w:lang w:val="en-US" w:eastAsia="zh-CN"/>
        </w:rPr>
      </w:pPr>
      <w:r>
        <w:rPr>
          <w:rFonts w:hint="eastAsia"/>
          <w:b w:val="0"/>
          <w:bCs w:val="0"/>
          <w:sz w:val="24"/>
          <w:szCs w:val="32"/>
          <w:lang w:val="en-US" w:eastAsia="zh-CN"/>
        </w:rPr>
        <w:t>接地网的边缘应闭合，外缘各角应搓成圆弧形，圆弧的半径不宜小于临近均压带间距的一半。</w:t>
      </w:r>
    </w:p>
    <w:p>
      <w:pPr>
        <w:widowControl w:val="0"/>
        <w:numPr>
          <w:ilvl w:val="0"/>
          <w:numId w:val="0"/>
        </w:numPr>
        <w:ind w:leftChars="0" w:firstLine="420" w:firstLineChars="0"/>
        <w:jc w:val="left"/>
        <w:rPr>
          <w:rFonts w:hint="eastAsia"/>
          <w:b w:val="0"/>
          <w:bCs w:val="0"/>
          <w:sz w:val="24"/>
          <w:szCs w:val="32"/>
          <w:lang w:val="en-US" w:eastAsia="zh-CN"/>
        </w:rPr>
      </w:pPr>
      <w:r>
        <w:rPr>
          <w:rFonts w:hint="default"/>
          <w:b w:val="0"/>
          <w:bCs w:val="0"/>
          <w:sz w:val="24"/>
          <w:szCs w:val="32"/>
          <w:lang w:val="en-US" w:eastAsia="zh-CN"/>
        </w:rPr>
        <w:t>明敷接地线，在导体的全长度或区间段及每个连接部位附近的表面，应涂以15mm~100mm宽度相等的绿色和黄色相间的条纹标识。当使用胶带时，应使用双色胶带</w:t>
      </w:r>
      <w:r>
        <w:rPr>
          <w:rFonts w:hint="eastAsia"/>
          <w:b w:val="0"/>
          <w:bCs w:val="0"/>
          <w:sz w:val="24"/>
          <w:szCs w:val="32"/>
          <w:lang w:val="en-US" w:eastAsia="zh-CN"/>
        </w:rPr>
        <w:t>，</w:t>
      </w:r>
      <w:r>
        <w:rPr>
          <w:rFonts w:hint="default"/>
          <w:b w:val="0"/>
          <w:bCs w:val="0"/>
          <w:sz w:val="24"/>
          <w:szCs w:val="32"/>
          <w:lang w:val="en-US" w:eastAsia="zh-CN"/>
        </w:rPr>
        <w:t>中性线宜涂淡蓝色标识</w:t>
      </w:r>
      <w:r>
        <w:rPr>
          <w:rFonts w:hint="eastAsia"/>
          <w:b w:val="0"/>
          <w:bCs w:val="0"/>
          <w:sz w:val="24"/>
          <w:szCs w:val="32"/>
          <w:lang w:val="en-US" w:eastAsia="zh-CN"/>
        </w:rPr>
        <w:t>。</w:t>
      </w:r>
    </w:p>
    <w:p>
      <w:pPr>
        <w:widowControl w:val="0"/>
        <w:numPr>
          <w:ilvl w:val="0"/>
          <w:numId w:val="0"/>
        </w:numPr>
        <w:ind w:leftChars="0" w:firstLine="420" w:firstLineChars="0"/>
        <w:jc w:val="left"/>
        <w:rPr>
          <w:rFonts w:hint="eastAsia"/>
          <w:b w:val="0"/>
          <w:bCs w:val="0"/>
          <w:sz w:val="24"/>
          <w:szCs w:val="32"/>
          <w:lang w:val="en-US" w:eastAsia="zh-CN"/>
        </w:rPr>
      </w:pPr>
      <w:r>
        <w:rPr>
          <w:rFonts w:hint="eastAsia"/>
          <w:b w:val="0"/>
          <w:bCs w:val="0"/>
          <w:sz w:val="24"/>
          <w:szCs w:val="32"/>
          <w:lang w:val="en-US" w:eastAsia="zh-CN"/>
        </w:rPr>
        <w:t>电气装置的接地必须单独与接地母钱或接地网相连接,严禁在一条接地线中串接两个及两个以上需要接地的电气装置。</w:t>
      </w:r>
    </w:p>
    <w:p>
      <w:pPr>
        <w:widowControl w:val="0"/>
        <w:numPr>
          <w:ilvl w:val="0"/>
          <w:numId w:val="0"/>
        </w:numPr>
        <w:ind w:leftChars="0" w:firstLine="420" w:firstLineChars="0"/>
        <w:jc w:val="left"/>
        <w:rPr>
          <w:rFonts w:hint="default"/>
          <w:b w:val="0"/>
          <w:bCs w:val="0"/>
          <w:sz w:val="24"/>
          <w:szCs w:val="32"/>
          <w:lang w:val="en-US" w:eastAsia="zh-CN"/>
        </w:rPr>
      </w:pPr>
      <w:r>
        <w:rPr>
          <w:rFonts w:hint="default"/>
          <w:b/>
          <w:bCs/>
          <w:sz w:val="24"/>
          <w:szCs w:val="32"/>
          <w:lang w:val="en-US" w:eastAsia="zh-CN"/>
        </w:rPr>
        <w:t>3.6 监控系统技术要求</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若</w:t>
      </w:r>
      <w:r>
        <w:rPr>
          <w:rFonts w:hint="default"/>
          <w:b w:val="0"/>
          <w:bCs w:val="0"/>
          <w:sz w:val="24"/>
          <w:szCs w:val="32"/>
          <w:lang w:val="en-US" w:eastAsia="zh-CN"/>
        </w:rPr>
        <w:t>光伏电站按“无人值班(少人值守)”的原则进行设计。各制造基地应安装一套综合自动化系统,具有保护、控制、通信、测量等功能，可实现光伏发电系统及升压站的全功能综合自动化管理，与电网的遥信功能以及发电公司的监测管理。</w:t>
      </w:r>
    </w:p>
    <w:p>
      <w:pPr>
        <w:widowControl w:val="0"/>
        <w:numPr>
          <w:ilvl w:val="0"/>
          <w:numId w:val="0"/>
        </w:numPr>
        <w:ind w:firstLine="420" w:firstLineChars="0"/>
        <w:jc w:val="left"/>
        <w:rPr>
          <w:rFonts w:hint="default"/>
          <w:b w:val="0"/>
          <w:bCs w:val="0"/>
          <w:sz w:val="24"/>
          <w:szCs w:val="32"/>
          <w:lang w:val="en-US" w:eastAsia="zh-CN"/>
        </w:rPr>
      </w:pPr>
      <w:r>
        <w:rPr>
          <w:rFonts w:hint="default"/>
          <w:b w:val="0"/>
          <w:bCs w:val="0"/>
          <w:sz w:val="24"/>
          <w:szCs w:val="32"/>
          <w:lang w:val="en-US" w:eastAsia="zh-CN"/>
        </w:rPr>
        <w:t>实现对并网逆变器、开关柜、等设备的监控保护，能实现对汇流箱分支回路电流的分析，判断不正常或故障回路。</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每个制造基地发电系统配置一套环境监测仪，用来监测厂址位置太阳能资源情况。</w:t>
      </w:r>
    </w:p>
    <w:p>
      <w:pPr>
        <w:widowControl w:val="0"/>
        <w:numPr>
          <w:ilvl w:val="0"/>
          <w:numId w:val="0"/>
        </w:numPr>
        <w:ind w:leftChars="0" w:firstLine="420" w:firstLineChars="0"/>
        <w:jc w:val="left"/>
        <w:rPr>
          <w:rFonts w:hint="default"/>
          <w:b/>
          <w:bCs/>
          <w:sz w:val="24"/>
          <w:szCs w:val="32"/>
          <w:lang w:val="en-US" w:eastAsia="zh-CN"/>
        </w:rPr>
      </w:pPr>
      <w:r>
        <w:rPr>
          <w:rFonts w:hint="default"/>
          <w:b/>
          <w:bCs/>
          <w:sz w:val="24"/>
          <w:szCs w:val="32"/>
          <w:lang w:val="en-US" w:eastAsia="zh-CN"/>
        </w:rPr>
        <w:t>3.7 屋面防护道路、检修通道及清洗水管</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保温材料应采用难燃B1级以上橡塑保温材料。</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投标人自行考虑检修通道</w:t>
      </w:r>
      <w:r>
        <w:rPr>
          <w:rFonts w:hint="eastAsia"/>
          <w:b w:val="0"/>
          <w:bCs w:val="0"/>
          <w:sz w:val="24"/>
          <w:szCs w:val="32"/>
          <w:lang w:val="en-US" w:eastAsia="zh-CN"/>
        </w:rPr>
        <w:t>，以方便运维人员运维路径为主</w:t>
      </w:r>
      <w:r>
        <w:rPr>
          <w:rFonts w:hint="default"/>
          <w:b w:val="0"/>
          <w:bCs w:val="0"/>
          <w:sz w:val="24"/>
          <w:szCs w:val="32"/>
          <w:lang w:val="en-US" w:eastAsia="zh-CN"/>
        </w:rPr>
        <w:t>。</w:t>
      </w:r>
    </w:p>
    <w:p>
      <w:pPr>
        <w:widowControl w:val="0"/>
        <w:numPr>
          <w:ilvl w:val="0"/>
          <w:numId w:val="0"/>
        </w:numPr>
        <w:ind w:leftChars="0" w:firstLine="420" w:firstLineChars="0"/>
        <w:jc w:val="left"/>
        <w:rPr>
          <w:rFonts w:hint="default"/>
          <w:b w:val="0"/>
          <w:bCs w:val="0"/>
          <w:sz w:val="24"/>
          <w:szCs w:val="32"/>
          <w:lang w:val="en-US" w:eastAsia="zh-CN"/>
        </w:rPr>
      </w:pPr>
      <w:r>
        <w:rPr>
          <w:rFonts w:hint="eastAsia"/>
          <w:b w:val="0"/>
          <w:bCs w:val="0"/>
          <w:sz w:val="24"/>
          <w:szCs w:val="32"/>
          <w:lang w:val="en-US" w:eastAsia="zh-CN"/>
        </w:rPr>
        <w:t>清洗水管应考虑保温及装设泄水阀，以避免冬季水管内留存水结冰。</w:t>
      </w:r>
    </w:p>
    <w:p>
      <w:pPr>
        <w:widowControl w:val="0"/>
        <w:numPr>
          <w:ilvl w:val="0"/>
          <w:numId w:val="0"/>
        </w:numPr>
        <w:ind w:leftChars="0" w:firstLine="420" w:firstLineChars="0"/>
        <w:jc w:val="left"/>
        <w:rPr>
          <w:rFonts w:hint="default"/>
          <w:b w:val="0"/>
          <w:bCs w:val="0"/>
          <w:sz w:val="24"/>
          <w:szCs w:val="32"/>
          <w:lang w:val="en-US" w:eastAsia="zh-CN"/>
        </w:rPr>
      </w:pPr>
      <w:r>
        <w:rPr>
          <w:rFonts w:hint="default"/>
          <w:b/>
          <w:bCs/>
          <w:sz w:val="24"/>
          <w:szCs w:val="32"/>
          <w:lang w:val="en-US" w:eastAsia="zh-CN"/>
        </w:rPr>
        <w:t>3.8支架、桥架技术要求</w:t>
      </w:r>
    </w:p>
    <w:p>
      <w:pPr>
        <w:widowControl w:val="0"/>
        <w:numPr>
          <w:ilvl w:val="0"/>
          <w:numId w:val="0"/>
        </w:numPr>
        <w:ind w:leftChars="0" w:firstLine="420" w:firstLineChars="0"/>
        <w:jc w:val="left"/>
        <w:rPr>
          <w:rFonts w:hint="default"/>
          <w:b w:val="0"/>
          <w:bCs w:val="0"/>
          <w:sz w:val="24"/>
          <w:szCs w:val="32"/>
          <w:lang w:val="en-US" w:eastAsia="zh-CN"/>
        </w:rPr>
      </w:pPr>
      <w:r>
        <w:rPr>
          <w:rFonts w:hint="default"/>
          <w:b w:val="0"/>
          <w:bCs w:val="0"/>
          <w:sz w:val="24"/>
          <w:szCs w:val="32"/>
          <w:lang w:val="en-US" w:eastAsia="zh-CN"/>
        </w:rPr>
        <w:t>具体的安装方式和材料(材料达到国标或以上)由投标方(中标方)根据现场自行设计，质量和性能需满足要求。支架导轨采用</w:t>
      </w:r>
      <w:r>
        <w:rPr>
          <w:rFonts w:hint="eastAsia"/>
          <w:b w:val="0"/>
          <w:bCs w:val="0"/>
          <w:sz w:val="24"/>
          <w:szCs w:val="32"/>
          <w:lang w:val="en-US" w:eastAsia="zh-CN"/>
        </w:rPr>
        <w:t>锌铝镁镀层钢材、</w:t>
      </w:r>
      <w:r>
        <w:rPr>
          <w:rFonts w:hint="default"/>
          <w:b w:val="0"/>
          <w:bCs w:val="0"/>
          <w:sz w:val="24"/>
          <w:szCs w:val="32"/>
          <w:lang w:val="en-US" w:eastAsia="zh-CN"/>
        </w:rPr>
        <w:t>热镀锌碳钢、铝合金、不锈钢，材质要求根据不同基地所在地区国家标准及地方标准，择优选用。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DD096C"/>
    <w:multiLevelType w:val="multilevel"/>
    <w:tmpl w:val="3CDD096C"/>
    <w:lvl w:ilvl="0" w:tentative="0">
      <w:start w:val="1"/>
      <w:numFmt w:val="decimal"/>
      <w:suff w:val="nothing"/>
      <w:lvlText w:val="%1、"/>
      <w:lvlJc w:val="left"/>
      <w:rPr>
        <w:rFonts w:hint="default"/>
        <w:b/>
        <w:bCs/>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37321E3D"/>
    <w:rsid w:val="03C926DB"/>
    <w:rsid w:val="06064171"/>
    <w:rsid w:val="06CF5700"/>
    <w:rsid w:val="09E3201C"/>
    <w:rsid w:val="0A2D60C6"/>
    <w:rsid w:val="0B095AB3"/>
    <w:rsid w:val="0CC936DB"/>
    <w:rsid w:val="0D8663CD"/>
    <w:rsid w:val="0FD528A9"/>
    <w:rsid w:val="106D4FFE"/>
    <w:rsid w:val="11230F50"/>
    <w:rsid w:val="12C63A42"/>
    <w:rsid w:val="133A7059"/>
    <w:rsid w:val="15CC1BB7"/>
    <w:rsid w:val="176B04A7"/>
    <w:rsid w:val="17F92A0B"/>
    <w:rsid w:val="1E325535"/>
    <w:rsid w:val="1F6E0143"/>
    <w:rsid w:val="210A7A37"/>
    <w:rsid w:val="22130D0D"/>
    <w:rsid w:val="2369313B"/>
    <w:rsid w:val="26E45690"/>
    <w:rsid w:val="27005B64"/>
    <w:rsid w:val="27497FB1"/>
    <w:rsid w:val="280276BA"/>
    <w:rsid w:val="28633CB1"/>
    <w:rsid w:val="296E1870"/>
    <w:rsid w:val="2A06314E"/>
    <w:rsid w:val="2CA12B77"/>
    <w:rsid w:val="32700042"/>
    <w:rsid w:val="32E93950"/>
    <w:rsid w:val="3334643D"/>
    <w:rsid w:val="34B00461"/>
    <w:rsid w:val="37321E3D"/>
    <w:rsid w:val="37B54672"/>
    <w:rsid w:val="37FC7C53"/>
    <w:rsid w:val="3CE16366"/>
    <w:rsid w:val="3DD0408A"/>
    <w:rsid w:val="3F085818"/>
    <w:rsid w:val="3F4271FF"/>
    <w:rsid w:val="3F4349F7"/>
    <w:rsid w:val="40694322"/>
    <w:rsid w:val="41206B0B"/>
    <w:rsid w:val="41F67E38"/>
    <w:rsid w:val="453C3DB3"/>
    <w:rsid w:val="45506B85"/>
    <w:rsid w:val="46850DC5"/>
    <w:rsid w:val="47BE75C1"/>
    <w:rsid w:val="4A9B5A20"/>
    <w:rsid w:val="4BE85F8A"/>
    <w:rsid w:val="519531C9"/>
    <w:rsid w:val="542B3180"/>
    <w:rsid w:val="55E262B1"/>
    <w:rsid w:val="57CF2412"/>
    <w:rsid w:val="5D972DFA"/>
    <w:rsid w:val="5F6C3EAA"/>
    <w:rsid w:val="5FCE397E"/>
    <w:rsid w:val="61BD5D78"/>
    <w:rsid w:val="636E73D6"/>
    <w:rsid w:val="66CF5094"/>
    <w:rsid w:val="66E419DE"/>
    <w:rsid w:val="68275505"/>
    <w:rsid w:val="69A34368"/>
    <w:rsid w:val="6AE61F48"/>
    <w:rsid w:val="6E166FE8"/>
    <w:rsid w:val="6F451933"/>
    <w:rsid w:val="715E4B21"/>
    <w:rsid w:val="76D4359C"/>
    <w:rsid w:val="7A6704D2"/>
    <w:rsid w:val="7AAC4F5C"/>
    <w:rsid w:val="7C865CE5"/>
    <w:rsid w:val="7E0E6730"/>
    <w:rsid w:val="7E756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Emphasis"/>
    <w:basedOn w:val="5"/>
    <w:autoRedefine/>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2023-11-22T07:31:00Z</dcterms:created>
  <dc:creator>MO丿淡忘</dc:creator>
  <cp:lastModifiedBy>你丑你先睡〔〕我帅无所谓</cp:lastModifiedBy>
  <dcterms:modified xsi:type="dcterms:W3CDTF">2024-01-02T01:39:15Z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88A9B2E14C9742F7BC3E08776F0AB12C_11</vt:lpwstr>
  </property>
</Properties>
</file>