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D624D5">
      <w:pPr>
        <w:keepNext w:val="0"/>
        <w:keepLines w:val="0"/>
        <w:widowControl/>
        <w:suppressLineNumbers w:val="0"/>
        <w:spacing w:line="240" w:lineRule="auto"/>
        <w:jc w:val="center"/>
        <w:rPr>
          <w:rFonts w:hint="eastAsia" w:ascii="宋体" w:hAnsi="宋体" w:eastAsia="宋体" w:cs="Times New Roman"/>
          <w:b/>
          <w:bCs/>
          <w:color w:val="030303"/>
          <w:kern w:val="0"/>
          <w:sz w:val="32"/>
          <w:szCs w:val="32"/>
          <w:shd w:val="clear" w:color="auto" w:fill="FFFFFF"/>
          <w:lang w:val="en-US" w:eastAsia="zh-CN" w:bidi="ar-SA"/>
        </w:rPr>
      </w:pPr>
      <w:r>
        <w:rPr>
          <w:rFonts w:hint="eastAsia" w:ascii="宋体" w:hAnsi="宋体" w:eastAsia="宋体" w:cs="Times New Roman"/>
          <w:b/>
          <w:bCs/>
          <w:color w:val="030303"/>
          <w:kern w:val="0"/>
          <w:sz w:val="32"/>
          <w:szCs w:val="32"/>
          <w:shd w:val="clear" w:color="auto" w:fill="FFFFFF"/>
          <w:lang w:val="en-US" w:eastAsia="zh-CN" w:bidi="ar-SA"/>
        </w:rPr>
        <w:t>科创中心报告厅培训教室及企业展厅弱电工程</w:t>
      </w:r>
    </w:p>
    <w:p w14:paraId="13DFD798">
      <w:pPr>
        <w:keepNext w:val="0"/>
        <w:keepLines w:val="0"/>
        <w:widowControl/>
        <w:suppressLineNumbers w:val="0"/>
        <w:spacing w:line="240" w:lineRule="auto"/>
        <w:jc w:val="center"/>
        <w:rPr>
          <w:rFonts w:hint="default" w:ascii="微软雅黑" w:hAnsi="微软雅黑" w:eastAsia="微软雅黑" w:cs="微软雅黑"/>
          <w:color w:val="030303"/>
          <w:sz w:val="21"/>
          <w:szCs w:val="21"/>
          <w:shd w:val="clear" w:color="auto" w:fill="FFFFFF"/>
        </w:rPr>
      </w:pPr>
      <w:r>
        <w:rPr>
          <w:rFonts w:hint="eastAsia" w:ascii="宋体" w:hAnsi="宋体" w:eastAsia="宋体" w:cs="Times New Roman"/>
          <w:b/>
          <w:bCs/>
          <w:color w:val="030303"/>
          <w:kern w:val="0"/>
          <w:sz w:val="32"/>
          <w:szCs w:val="32"/>
          <w:shd w:val="clear" w:color="auto" w:fill="FFFFFF"/>
          <w:lang w:val="en-US" w:eastAsia="zh-CN" w:bidi="ar-SA"/>
        </w:rPr>
        <w:t>物资采购招标公告</w:t>
      </w:r>
    </w:p>
    <w:p w14:paraId="2B55D467">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根据相关法律法规等有关规定，宁国市永祥电力工程技术有限公司就</w:t>
      </w:r>
      <w:r>
        <w:rPr>
          <w:rFonts w:hint="eastAsia" w:ascii="宋体" w:hAnsi="宋体" w:eastAsia="宋体" w:cs="宋体"/>
          <w:sz w:val="24"/>
          <w:szCs w:val="24"/>
          <w:lang w:val="en-US" w:eastAsia="zh-CN"/>
        </w:rPr>
        <w:t>科创中心报告厅培训教室及企业展厅弱电工程</w:t>
      </w:r>
      <w:r>
        <w:rPr>
          <w:rFonts w:hint="eastAsia" w:ascii="宋体" w:hAnsi="宋体" w:eastAsia="宋体" w:cs="宋体"/>
          <w:sz w:val="24"/>
          <w:szCs w:val="24"/>
        </w:rPr>
        <w:t>物资采购进行公开招标，欢迎国内合格的供应商前来投标。</w:t>
      </w:r>
    </w:p>
    <w:p w14:paraId="462D9676">
      <w:pPr>
        <w:spacing w:line="360" w:lineRule="auto"/>
        <w:rPr>
          <w:rFonts w:hint="eastAsia" w:ascii="宋体" w:hAnsi="宋体" w:eastAsia="宋体" w:cs="宋体"/>
          <w:sz w:val="24"/>
          <w:szCs w:val="24"/>
        </w:rPr>
      </w:pPr>
      <w:r>
        <w:rPr>
          <w:rFonts w:hint="eastAsia" w:ascii="宋体" w:hAnsi="宋体" w:eastAsia="宋体" w:cs="宋体"/>
          <w:sz w:val="24"/>
          <w:szCs w:val="24"/>
          <w:lang w:eastAsia="zh-CN"/>
        </w:rPr>
        <w:t>一、</w:t>
      </w:r>
      <w:r>
        <w:rPr>
          <w:rFonts w:hint="eastAsia" w:ascii="宋体" w:hAnsi="宋体" w:eastAsia="宋体" w:cs="宋体"/>
          <w:sz w:val="24"/>
          <w:szCs w:val="24"/>
        </w:rPr>
        <w:t>工程名称：</w:t>
      </w:r>
      <w:r>
        <w:rPr>
          <w:rFonts w:hint="eastAsia" w:ascii="宋体" w:hAnsi="宋体" w:eastAsia="宋体" w:cs="宋体"/>
          <w:sz w:val="24"/>
          <w:szCs w:val="24"/>
          <w:lang w:val="en-US" w:eastAsia="zh-CN"/>
        </w:rPr>
        <w:t>科创中心报告厅培训教室及企业展厅弱电工程</w:t>
      </w:r>
    </w:p>
    <w:p w14:paraId="0A842570">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rPr>
        <w:t>二、项目编号：</w:t>
      </w:r>
      <w:r>
        <w:rPr>
          <w:rFonts w:hint="eastAsia" w:ascii="宋体" w:hAnsi="宋体" w:eastAsia="宋体" w:cs="宋体"/>
          <w:sz w:val="24"/>
          <w:szCs w:val="24"/>
          <w:lang w:val="en-US" w:eastAsia="zh-CN"/>
        </w:rPr>
        <w:t xml:space="preserve"> </w:t>
      </w:r>
    </w:p>
    <w:p w14:paraId="04CD9C57">
      <w:pPr>
        <w:spacing w:line="360" w:lineRule="auto"/>
        <w:rPr>
          <w:rFonts w:hint="eastAsia" w:ascii="宋体" w:hAnsi="宋体" w:eastAsia="宋体" w:cs="宋体"/>
          <w:sz w:val="24"/>
          <w:szCs w:val="24"/>
        </w:rPr>
      </w:pPr>
      <w:r>
        <w:rPr>
          <w:rFonts w:hint="eastAsia" w:ascii="宋体" w:hAnsi="宋体" w:eastAsia="宋体" w:cs="宋体"/>
          <w:sz w:val="24"/>
          <w:szCs w:val="24"/>
        </w:rPr>
        <w:t>三、招标项目概况：</w:t>
      </w:r>
    </w:p>
    <w:p w14:paraId="34C065C3">
      <w:pPr>
        <w:spacing w:line="360" w:lineRule="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i w:val="0"/>
          <w:iCs w:val="0"/>
          <w:color w:val="000000"/>
          <w:kern w:val="0"/>
          <w:sz w:val="21"/>
          <w:szCs w:val="21"/>
          <w:u w:val="none"/>
          <w:lang w:val="en-US" w:eastAsia="zh-CN" w:bidi="ar"/>
        </w:rPr>
        <w:t>室内LED全彩屏</w:t>
      </w:r>
      <w:r>
        <w:rPr>
          <w:rFonts w:hint="eastAsia" w:ascii="宋体" w:hAnsi="宋体" w:eastAsia="宋体" w:cs="宋体"/>
          <w:sz w:val="24"/>
          <w:szCs w:val="24"/>
        </w:rPr>
        <w:t>：</w:t>
      </w:r>
    </w:p>
    <w:p w14:paraId="78169F37">
      <w:pPr>
        <w:spacing w:line="360" w:lineRule="auto"/>
        <w:rPr>
          <w:rFonts w:hint="eastAsia" w:ascii="宋体" w:hAnsi="宋体" w:eastAsia="宋体" w:cs="宋体"/>
          <w:sz w:val="24"/>
          <w:szCs w:val="24"/>
        </w:rPr>
      </w:pPr>
      <w:r>
        <w:rPr>
          <w:rFonts w:hint="eastAsia" w:ascii="宋体" w:hAnsi="宋体" w:eastAsia="宋体" w:cs="宋体"/>
          <w:sz w:val="24"/>
          <w:szCs w:val="24"/>
        </w:rPr>
        <w:t>1.1采购内容</w:t>
      </w:r>
      <w:r>
        <w:rPr>
          <w:rFonts w:hint="eastAsia" w:ascii="宋体" w:hAnsi="宋体" w:eastAsia="宋体" w:cs="宋体"/>
          <w:sz w:val="24"/>
          <w:szCs w:val="24"/>
          <w:lang w:eastAsia="zh-CN"/>
        </w:rPr>
        <w:t>及</w:t>
      </w:r>
      <w:r>
        <w:rPr>
          <w:rFonts w:hint="eastAsia" w:ascii="宋体" w:hAnsi="宋体" w:eastAsia="宋体" w:cs="宋体"/>
          <w:sz w:val="24"/>
          <w:szCs w:val="24"/>
        </w:rPr>
        <w:t>要求（见下表）：</w:t>
      </w:r>
    </w:p>
    <w:p w14:paraId="75279523">
      <w:pPr>
        <w:spacing w:line="360" w:lineRule="auto"/>
        <w:rPr>
          <w:rFonts w:hint="eastAsia" w:ascii="宋体" w:hAnsi="宋体" w:eastAsia="宋体" w:cs="宋体"/>
          <w:sz w:val="24"/>
          <w:szCs w:val="24"/>
        </w:rPr>
      </w:pPr>
    </w:p>
    <w:tbl>
      <w:tblPr>
        <w:tblStyle w:val="12"/>
        <w:tblW w:w="5037" w:type="pct"/>
        <w:tblInd w:w="0" w:type="dxa"/>
        <w:tblLayout w:type="fixed"/>
        <w:tblCellMar>
          <w:top w:w="0" w:type="dxa"/>
          <w:left w:w="108" w:type="dxa"/>
          <w:bottom w:w="0" w:type="dxa"/>
          <w:right w:w="108" w:type="dxa"/>
        </w:tblCellMar>
      </w:tblPr>
      <w:tblGrid>
        <w:gridCol w:w="686"/>
        <w:gridCol w:w="1803"/>
        <w:gridCol w:w="3481"/>
        <w:gridCol w:w="831"/>
        <w:gridCol w:w="875"/>
        <w:gridCol w:w="1681"/>
      </w:tblGrid>
      <w:tr w14:paraId="01F3DF88">
        <w:tblPrEx>
          <w:tblCellMar>
            <w:top w:w="0" w:type="dxa"/>
            <w:left w:w="108" w:type="dxa"/>
            <w:bottom w:w="0" w:type="dxa"/>
            <w:right w:w="108" w:type="dxa"/>
          </w:tblCellMar>
        </w:tblPrEx>
        <w:trPr>
          <w:trHeight w:val="585"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8D3E1">
            <w:pPr>
              <w:widowControl/>
              <w:jc w:val="center"/>
              <w:textAlignment w:val="center"/>
              <w:rPr>
                <w:rFonts w:ascii="黑体" w:hAnsi="黑体" w:eastAsia="黑体" w:cs="黑体"/>
                <w:b/>
                <w:bCs/>
                <w:color w:val="000000"/>
                <w:sz w:val="22"/>
                <w:szCs w:val="22"/>
              </w:rPr>
            </w:pPr>
            <w:r>
              <w:rPr>
                <w:rFonts w:hint="eastAsia" w:ascii="黑体" w:hAnsi="黑体" w:eastAsia="黑体" w:cs="黑体"/>
                <w:b/>
                <w:bCs/>
                <w:color w:val="000000"/>
                <w:kern w:val="0"/>
                <w:sz w:val="22"/>
                <w:szCs w:val="22"/>
                <w:lang w:bidi="ar"/>
              </w:rPr>
              <w:t>序号</w:t>
            </w:r>
          </w:p>
        </w:tc>
        <w:tc>
          <w:tcPr>
            <w:tcW w:w="963" w:type="pct"/>
            <w:tcBorders>
              <w:top w:val="single" w:color="000000" w:sz="4" w:space="0"/>
              <w:left w:val="single" w:color="000000" w:sz="4" w:space="0"/>
              <w:bottom w:val="single" w:color="auto" w:sz="4" w:space="0"/>
              <w:right w:val="single" w:color="000000" w:sz="4" w:space="0"/>
            </w:tcBorders>
            <w:shd w:val="clear" w:color="auto" w:fill="auto"/>
            <w:vAlign w:val="center"/>
          </w:tcPr>
          <w:p w14:paraId="323BD1FE">
            <w:pPr>
              <w:widowControl/>
              <w:jc w:val="center"/>
              <w:textAlignment w:val="center"/>
              <w:rPr>
                <w:rFonts w:ascii="黑体" w:hAnsi="黑体" w:eastAsia="黑体" w:cs="黑体"/>
                <w:b/>
                <w:bCs/>
                <w:color w:val="000000"/>
                <w:sz w:val="22"/>
                <w:szCs w:val="22"/>
              </w:rPr>
            </w:pPr>
            <w:r>
              <w:rPr>
                <w:rFonts w:hint="eastAsia" w:ascii="黑体" w:hAnsi="黑体" w:eastAsia="黑体" w:cs="黑体"/>
                <w:b/>
                <w:bCs/>
                <w:color w:val="000000"/>
                <w:kern w:val="0"/>
                <w:sz w:val="22"/>
                <w:szCs w:val="22"/>
                <w:lang w:bidi="ar"/>
              </w:rPr>
              <w:t>产品名称</w:t>
            </w:r>
          </w:p>
        </w:tc>
        <w:tc>
          <w:tcPr>
            <w:tcW w:w="1860" w:type="pct"/>
            <w:tcBorders>
              <w:top w:val="single" w:color="000000" w:sz="4" w:space="0"/>
              <w:left w:val="single" w:color="000000" w:sz="4" w:space="0"/>
              <w:bottom w:val="single" w:color="auto" w:sz="4" w:space="0"/>
              <w:right w:val="single" w:color="000000" w:sz="4" w:space="0"/>
            </w:tcBorders>
            <w:shd w:val="clear" w:color="auto" w:fill="auto"/>
            <w:vAlign w:val="center"/>
          </w:tcPr>
          <w:p w14:paraId="4A74600F">
            <w:pPr>
              <w:widowControl/>
              <w:jc w:val="center"/>
              <w:textAlignment w:val="center"/>
              <w:rPr>
                <w:rFonts w:ascii="黑体" w:hAnsi="黑体" w:eastAsia="黑体" w:cs="黑体"/>
                <w:b/>
                <w:bCs/>
                <w:color w:val="000000"/>
                <w:sz w:val="22"/>
                <w:szCs w:val="22"/>
              </w:rPr>
            </w:pPr>
            <w:r>
              <w:rPr>
                <w:rFonts w:hint="eastAsia" w:ascii="黑体" w:hAnsi="黑体" w:eastAsia="黑体" w:cs="黑体"/>
                <w:b/>
                <w:bCs/>
                <w:color w:val="000000"/>
                <w:kern w:val="0"/>
                <w:sz w:val="22"/>
                <w:szCs w:val="22"/>
                <w:lang w:bidi="ar"/>
              </w:rPr>
              <w:t>规格型号</w:t>
            </w:r>
          </w:p>
        </w:tc>
        <w:tc>
          <w:tcPr>
            <w:tcW w:w="444"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60315E40">
            <w:pPr>
              <w:widowControl/>
              <w:jc w:val="center"/>
              <w:textAlignment w:val="center"/>
              <w:rPr>
                <w:rFonts w:ascii="黑体" w:hAnsi="黑体" w:eastAsia="黑体" w:cs="黑体"/>
                <w:b/>
                <w:bCs/>
                <w:color w:val="000000"/>
                <w:sz w:val="22"/>
                <w:szCs w:val="22"/>
              </w:rPr>
            </w:pPr>
            <w:r>
              <w:rPr>
                <w:rFonts w:hint="eastAsia" w:ascii="黑体" w:hAnsi="黑体" w:eastAsia="黑体" w:cs="黑体"/>
                <w:b/>
                <w:bCs/>
                <w:color w:val="000000"/>
                <w:kern w:val="0"/>
                <w:sz w:val="22"/>
                <w:szCs w:val="22"/>
                <w:lang w:bidi="ar"/>
              </w:rPr>
              <w:t>单位</w:t>
            </w:r>
          </w:p>
        </w:tc>
        <w:tc>
          <w:tcPr>
            <w:tcW w:w="467" w:type="pct"/>
            <w:tcBorders>
              <w:top w:val="single" w:color="000000" w:sz="4" w:space="0"/>
              <w:left w:val="single" w:color="000000" w:sz="4" w:space="0"/>
              <w:bottom w:val="single" w:color="auto" w:sz="4" w:space="0"/>
              <w:right w:val="single" w:color="auto" w:sz="4" w:space="0"/>
            </w:tcBorders>
            <w:shd w:val="clear" w:color="auto" w:fill="auto"/>
            <w:noWrap/>
            <w:vAlign w:val="center"/>
          </w:tcPr>
          <w:p w14:paraId="052D6D3A">
            <w:pPr>
              <w:widowControl/>
              <w:jc w:val="center"/>
              <w:textAlignment w:val="center"/>
              <w:rPr>
                <w:rFonts w:ascii="黑体" w:hAnsi="黑体" w:eastAsia="黑体" w:cs="黑体"/>
                <w:b/>
                <w:bCs/>
                <w:color w:val="000000"/>
                <w:sz w:val="22"/>
                <w:szCs w:val="22"/>
              </w:rPr>
            </w:pPr>
            <w:r>
              <w:rPr>
                <w:rFonts w:hint="eastAsia" w:ascii="黑体" w:hAnsi="黑体" w:eastAsia="黑体" w:cs="黑体"/>
                <w:b/>
                <w:bCs/>
                <w:color w:val="000000"/>
                <w:kern w:val="0"/>
                <w:sz w:val="22"/>
                <w:szCs w:val="22"/>
                <w:lang w:bidi="ar"/>
              </w:rPr>
              <w:t>数量</w:t>
            </w:r>
          </w:p>
        </w:tc>
        <w:tc>
          <w:tcPr>
            <w:tcW w:w="898" w:type="pct"/>
            <w:tcBorders>
              <w:top w:val="single" w:color="auto" w:sz="4" w:space="0"/>
              <w:left w:val="single" w:color="auto" w:sz="4" w:space="0"/>
              <w:bottom w:val="single" w:color="auto" w:sz="4" w:space="0"/>
              <w:right w:val="single" w:color="auto" w:sz="4" w:space="0"/>
            </w:tcBorders>
            <w:shd w:val="clear" w:color="auto" w:fill="auto"/>
            <w:vAlign w:val="center"/>
          </w:tcPr>
          <w:p w14:paraId="6ACCC42E">
            <w:pPr>
              <w:widowControl/>
              <w:jc w:val="center"/>
              <w:textAlignment w:val="center"/>
              <w:rPr>
                <w:rFonts w:ascii="黑体" w:hAnsi="黑体" w:eastAsia="黑体" w:cs="黑体"/>
                <w:b/>
                <w:bCs/>
                <w:color w:val="000000"/>
                <w:kern w:val="0"/>
                <w:sz w:val="22"/>
                <w:szCs w:val="22"/>
                <w:lang w:bidi="ar"/>
              </w:rPr>
            </w:pPr>
            <w:r>
              <w:rPr>
                <w:rFonts w:hint="eastAsia" w:ascii="黑体" w:hAnsi="黑体" w:eastAsia="黑体" w:cs="黑体"/>
                <w:b/>
                <w:bCs/>
                <w:color w:val="000000"/>
                <w:kern w:val="0"/>
                <w:sz w:val="22"/>
                <w:szCs w:val="22"/>
                <w:lang w:bidi="ar"/>
              </w:rPr>
              <w:t>备注</w:t>
            </w:r>
          </w:p>
        </w:tc>
      </w:tr>
      <w:tr w14:paraId="6FD438D7">
        <w:tblPrEx>
          <w:tblCellMar>
            <w:top w:w="0" w:type="dxa"/>
            <w:left w:w="108" w:type="dxa"/>
            <w:bottom w:w="0" w:type="dxa"/>
            <w:right w:w="108" w:type="dxa"/>
          </w:tblCellMar>
        </w:tblPrEx>
        <w:trPr>
          <w:trHeight w:val="1474" w:hRule="atLeast"/>
        </w:trPr>
        <w:tc>
          <w:tcPr>
            <w:tcW w:w="366"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1ADF63B0">
            <w:pPr>
              <w:widowControl/>
              <w:jc w:val="center"/>
              <w:textAlignment w:val="center"/>
              <w:rPr>
                <w:rFonts w:ascii="黑体" w:hAnsi="黑体" w:eastAsia="黑体" w:cs="黑体"/>
                <w:color w:val="000000"/>
                <w:kern w:val="0"/>
                <w:sz w:val="24"/>
                <w:lang w:bidi="ar"/>
              </w:rPr>
            </w:pPr>
            <w:r>
              <w:rPr>
                <w:rFonts w:hint="eastAsia" w:ascii="宋体" w:hAnsi="宋体" w:eastAsia="宋体" w:cs="宋体"/>
                <w:color w:val="000000"/>
                <w:kern w:val="0"/>
                <w:szCs w:val="21"/>
                <w:lang w:bidi="ar"/>
              </w:rPr>
              <w:t>1</w:t>
            </w:r>
          </w:p>
        </w:tc>
        <w:tc>
          <w:tcPr>
            <w:tcW w:w="963" w:type="pct"/>
            <w:tcBorders>
              <w:top w:val="single" w:color="auto" w:sz="4" w:space="0"/>
              <w:left w:val="single" w:color="auto" w:sz="4" w:space="0"/>
              <w:bottom w:val="single" w:color="auto" w:sz="4" w:space="0"/>
              <w:right w:val="single" w:color="auto" w:sz="4" w:space="0"/>
            </w:tcBorders>
            <w:shd w:val="clear" w:color="auto" w:fill="auto"/>
            <w:vAlign w:val="center"/>
          </w:tcPr>
          <w:p w14:paraId="240A2894">
            <w:pPr>
              <w:jc w:val="center"/>
              <w:rPr>
                <w:rFonts w:ascii="Calibri" w:hAnsi="Calibri" w:eastAsia="宋体" w:cs="Times New Roman"/>
                <w:szCs w:val="21"/>
              </w:rPr>
            </w:pPr>
            <w:r>
              <w:rPr>
                <w:rFonts w:hint="eastAsia" w:ascii="宋体" w:hAnsi="宋体" w:eastAsia="宋体" w:cs="宋体"/>
                <w:i w:val="0"/>
                <w:iCs w:val="0"/>
                <w:color w:val="000000"/>
                <w:kern w:val="0"/>
                <w:sz w:val="21"/>
                <w:szCs w:val="21"/>
                <w:u w:val="none"/>
                <w:lang w:val="en-US" w:eastAsia="zh-CN" w:bidi="ar"/>
              </w:rPr>
              <w:t>室内LED全彩屏</w:t>
            </w:r>
          </w:p>
        </w:tc>
        <w:tc>
          <w:tcPr>
            <w:tcW w:w="1860" w:type="pct"/>
            <w:tcBorders>
              <w:top w:val="single" w:color="auto" w:sz="4" w:space="0"/>
              <w:left w:val="single" w:color="auto" w:sz="4" w:space="0"/>
              <w:bottom w:val="single" w:color="auto" w:sz="4" w:space="0"/>
              <w:right w:val="single" w:color="auto" w:sz="4" w:space="0"/>
            </w:tcBorders>
            <w:shd w:val="clear" w:color="auto" w:fill="auto"/>
            <w:vAlign w:val="center"/>
          </w:tcPr>
          <w:p w14:paraId="0E53C270">
            <w:pPr>
              <w:jc w:val="center"/>
              <w:rPr>
                <w:rFonts w:hint="eastAsia" w:ascii="Calibri" w:hAnsi="Calibri" w:eastAsia="宋体" w:cs="Times New Roman"/>
                <w:szCs w:val="21"/>
                <w:lang w:eastAsia="zh-CN"/>
              </w:rPr>
            </w:pPr>
            <w:r>
              <w:rPr>
                <w:rFonts w:hint="eastAsia" w:ascii="Calibri" w:hAnsi="Calibri" w:eastAsia="宋体" w:cs="Times New Roman"/>
                <w:szCs w:val="21"/>
                <w:highlight w:val="none"/>
                <w:lang w:eastAsia="zh-CN"/>
              </w:rPr>
              <w:t>主要技术参数见下表</w:t>
            </w:r>
          </w:p>
        </w:tc>
        <w:tc>
          <w:tcPr>
            <w:tcW w:w="44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D1C1DA">
            <w:pPr>
              <w:jc w:val="center"/>
              <w:rPr>
                <w:rFonts w:hint="default" w:ascii="Calibri" w:hAnsi="Calibri" w:eastAsia="宋体" w:cs="Times New Roman"/>
                <w:szCs w:val="21"/>
                <w:lang w:val="en-US" w:eastAsia="zh-CN"/>
              </w:rPr>
            </w:pPr>
            <w:r>
              <w:rPr>
                <w:rFonts w:hint="eastAsia" w:ascii="Calibri" w:hAnsi="Calibri" w:eastAsia="宋体" w:cs="Times New Roman"/>
                <w:szCs w:val="21"/>
                <w:lang w:val="en-US" w:eastAsia="zh-CN"/>
              </w:rPr>
              <w:t>平方</w:t>
            </w:r>
          </w:p>
        </w:tc>
        <w:tc>
          <w:tcPr>
            <w:tcW w:w="4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0E7EB1">
            <w:pPr>
              <w:jc w:val="center"/>
              <w:rPr>
                <w:rFonts w:hint="default" w:ascii="Calibri" w:hAnsi="Calibri" w:eastAsia="宋体" w:cs="Times New Roman"/>
                <w:szCs w:val="21"/>
                <w:lang w:val="en-US" w:eastAsia="zh-CN"/>
              </w:rPr>
            </w:pPr>
            <w:r>
              <w:rPr>
                <w:rFonts w:hint="eastAsia" w:ascii="Calibri" w:hAnsi="Calibri" w:eastAsia="宋体" w:cs="Times New Roman"/>
                <w:szCs w:val="21"/>
                <w:lang w:val="en-US" w:eastAsia="zh-CN"/>
              </w:rPr>
              <w:t>58.98</w:t>
            </w:r>
          </w:p>
        </w:tc>
        <w:tc>
          <w:tcPr>
            <w:tcW w:w="898" w:type="pct"/>
            <w:tcBorders>
              <w:top w:val="single" w:color="auto" w:sz="4" w:space="0"/>
              <w:left w:val="single" w:color="auto" w:sz="4" w:space="0"/>
              <w:bottom w:val="single" w:color="auto" w:sz="4" w:space="0"/>
              <w:right w:val="single" w:color="auto" w:sz="4" w:space="0"/>
            </w:tcBorders>
            <w:shd w:val="clear" w:color="auto" w:fill="auto"/>
            <w:vAlign w:val="center"/>
          </w:tcPr>
          <w:p w14:paraId="2E81D4F8">
            <w:pPr>
              <w:jc w:val="center"/>
              <w:rPr>
                <w:rFonts w:ascii="Calibri" w:hAnsi="Calibri" w:eastAsia="宋体" w:cs="Times New Roman"/>
                <w:szCs w:val="21"/>
                <w:highlight w:val="green"/>
              </w:rPr>
            </w:pPr>
          </w:p>
          <w:p w14:paraId="35A8EE7F">
            <w:pPr>
              <w:jc w:val="both"/>
              <w:rPr>
                <w:rFonts w:hint="eastAsia" w:ascii="Calibri" w:hAnsi="Calibri" w:eastAsia="宋体" w:cs="Times New Roman"/>
                <w:color w:val="auto"/>
                <w:szCs w:val="21"/>
                <w:highlight w:val="none"/>
                <w:lang w:eastAsia="zh-CN"/>
              </w:rPr>
            </w:pPr>
            <w:r>
              <w:rPr>
                <w:rFonts w:hint="eastAsia" w:ascii="Calibri" w:hAnsi="Calibri" w:eastAsia="宋体" w:cs="Times New Roman"/>
                <w:color w:val="auto"/>
                <w:szCs w:val="21"/>
                <w:highlight w:val="none"/>
                <w:lang w:eastAsia="zh-CN"/>
              </w:rPr>
              <w:t>含</w:t>
            </w:r>
            <w:r>
              <w:rPr>
                <w:rFonts w:hint="eastAsia" w:ascii="宋体" w:hAnsi="宋体" w:eastAsia="宋体" w:cs="宋体"/>
                <w:i w:val="0"/>
                <w:iCs w:val="0"/>
                <w:color w:val="auto"/>
                <w:kern w:val="0"/>
                <w:sz w:val="21"/>
                <w:szCs w:val="21"/>
                <w:highlight w:val="none"/>
                <w:u w:val="none"/>
                <w:lang w:val="en-US" w:eastAsia="zh-CN" w:bidi="ar"/>
              </w:rPr>
              <w:t>室内LED全彩屏、开关电源、视频处理器等下表中设备。</w:t>
            </w:r>
          </w:p>
          <w:p w14:paraId="19E83F51">
            <w:pPr>
              <w:jc w:val="center"/>
              <w:rPr>
                <w:rFonts w:ascii="Calibri" w:hAnsi="Calibri" w:eastAsia="宋体" w:cs="Times New Roman"/>
                <w:szCs w:val="21"/>
                <w:highlight w:val="green"/>
              </w:rPr>
            </w:pPr>
          </w:p>
        </w:tc>
      </w:tr>
    </w:tbl>
    <w:p w14:paraId="56F6288B">
      <w:pPr>
        <w:spacing w:line="360" w:lineRule="auto"/>
        <w:rPr>
          <w:rFonts w:hint="eastAsia" w:ascii="宋体" w:hAnsi="宋体" w:eastAsia="宋体" w:cs="宋体"/>
          <w:sz w:val="24"/>
          <w:szCs w:val="24"/>
          <w:lang w:eastAsia="zh-CN"/>
        </w:rPr>
      </w:pPr>
    </w:p>
    <w:tbl>
      <w:tblPr>
        <w:tblStyle w:val="12"/>
        <w:tblW w:w="103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6"/>
        <w:gridCol w:w="2651"/>
        <w:gridCol w:w="4400"/>
        <w:gridCol w:w="796"/>
        <w:gridCol w:w="925"/>
        <w:gridCol w:w="797"/>
      </w:tblGrid>
      <w:tr w14:paraId="531A9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jc w:val="center"/>
        </w:trPr>
        <w:tc>
          <w:tcPr>
            <w:tcW w:w="1036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BB65F">
            <w:pPr>
              <w:spacing w:line="360" w:lineRule="auto"/>
              <w:jc w:val="center"/>
              <w:rPr>
                <w:rFonts w:hint="eastAsia" w:ascii="宋体" w:hAnsi="宋体" w:eastAsia="宋体" w:cs="宋体"/>
                <w:b/>
                <w:bCs/>
                <w:i w:val="0"/>
                <w:iCs w:val="0"/>
                <w:color w:val="000000"/>
                <w:sz w:val="21"/>
                <w:szCs w:val="21"/>
                <w:u w:val="none"/>
                <w:lang w:val="en-US" w:eastAsia="zh-CN"/>
              </w:rPr>
            </w:pPr>
            <w:r>
              <w:rPr>
                <w:rFonts w:hint="eastAsia" w:ascii="宋体" w:hAnsi="宋体" w:eastAsia="宋体" w:cs="宋体"/>
                <w:sz w:val="24"/>
                <w:szCs w:val="24"/>
                <w:lang w:eastAsia="zh-CN"/>
              </w:rPr>
              <w:t>附：</w:t>
            </w:r>
            <w:r>
              <w:rPr>
                <w:rFonts w:hint="eastAsia" w:ascii="宋体" w:hAnsi="宋体" w:eastAsia="宋体" w:cs="宋体"/>
                <w:b/>
                <w:bCs/>
                <w:i w:val="0"/>
                <w:iCs w:val="0"/>
                <w:color w:val="000000"/>
                <w:sz w:val="21"/>
                <w:szCs w:val="21"/>
                <w:u w:val="none"/>
                <w:lang w:val="en-US" w:eastAsia="zh-CN"/>
              </w:rPr>
              <w:t>技术参数</w:t>
            </w:r>
          </w:p>
        </w:tc>
      </w:tr>
      <w:tr w14:paraId="168D9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01C5C5">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5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39D0C3">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设备名称</w:t>
            </w:r>
          </w:p>
        </w:tc>
        <w:tc>
          <w:tcPr>
            <w:tcW w:w="45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5696F2">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技术参数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9F73CC">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C34872">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945051">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14:paraId="6CFEC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41B3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0418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室内LED全彩屏</w:t>
            </w:r>
          </w:p>
        </w:tc>
        <w:tc>
          <w:tcPr>
            <w:tcW w:w="4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4F7B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1、▲像素间距：≤2.0mm，像素密度≥250000点/㎡；</w:t>
            </w:r>
          </w:p>
          <w:p w14:paraId="776CAB4E">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2、模组尺寸：320mm*160mm；</w:t>
            </w:r>
          </w:p>
          <w:p w14:paraId="1CB6C9A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3、灯管寿命：≥100000H</w:t>
            </w:r>
          </w:p>
          <w:p w14:paraId="7BC0046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4、最高亮度：≥600cd/㎡；</w:t>
            </w:r>
          </w:p>
          <w:p w14:paraId="573A1722">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5、防护等级： IP5X；</w:t>
            </w:r>
          </w:p>
          <w:p w14:paraId="351A2A0E">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6、平整度：≤0.05 mm；</w:t>
            </w:r>
          </w:p>
          <w:p w14:paraId="79CC3BB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7、像素中心距相对偏差：≤1%；</w:t>
            </w:r>
          </w:p>
          <w:p w14:paraId="7C63F04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8、水平相对偏差：≤1%；</w:t>
            </w:r>
          </w:p>
          <w:p w14:paraId="3B6E410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9、垂直相对偏差：≤1%；</w:t>
            </w:r>
          </w:p>
          <w:p w14:paraId="2BB87B2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10、电源平均效率：功率不小于95%，转换率不小于86%；</w:t>
            </w:r>
          </w:p>
          <w:p w14:paraId="4CDAD56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11、亮度调整：具有随环境照度的变化而自动调整亮度调整的功能，支持手动、自动远程调节（0-100%）；</w:t>
            </w:r>
          </w:p>
          <w:p w14:paraId="36DEABF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12、亮度均匀性：≥99%；</w:t>
            </w:r>
          </w:p>
          <w:p w14:paraId="17D16B6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13、校正：支持单点（逐点）亮度/色度较正，支持出厂校正及现场校正；</w:t>
            </w:r>
          </w:p>
          <w:p w14:paraId="331A2A2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14、基色波长误差：ΔλD≤2nm；</w:t>
            </w:r>
          </w:p>
          <w:p w14:paraId="0063A81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15、最高对比度：≥10000：1；</w:t>
            </w:r>
          </w:p>
          <w:p w14:paraId="6A1595C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16、色温：2000K-10000K可调；</w:t>
            </w:r>
          </w:p>
          <w:p w14:paraId="5694726E">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17、色域：≥120%NTSC；</w:t>
            </w:r>
          </w:p>
          <w:p w14:paraId="74EAEA80">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18、灰度等级：16Bit；</w:t>
            </w:r>
          </w:p>
          <w:p w14:paraId="5ADCAD70">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19、换帧频率：≥60Hz；</w:t>
            </w:r>
          </w:p>
          <w:p w14:paraId="6B0BF49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20、刷新频率：960-3840Hz；</w:t>
            </w:r>
          </w:p>
          <w:p w14:paraId="72746574">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21、驱动方式：恒流驱动；</w:t>
            </w:r>
          </w:p>
          <w:p w14:paraId="013B06BD">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22、像素失控率：Pz≤3*104,无连续失控点；</w:t>
            </w:r>
          </w:p>
          <w:p w14:paraId="060AFC92">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23、噪音：≤5dB；</w:t>
            </w:r>
          </w:p>
          <w:p w14:paraId="7EAA1B98">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24、彩色信号处理深度：≥26Bit；</w:t>
            </w:r>
          </w:p>
          <w:p w14:paraId="0B57708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25、模块表面处理：采用电喷技术，无塑胶类结构件，墨色一致，散热好；</w:t>
            </w:r>
          </w:p>
          <w:p w14:paraId="7B1E5210">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26、数据备份：支持数据N+1信号冗余备份功能；</w:t>
            </w:r>
          </w:p>
          <w:p w14:paraId="2CFBA1E8">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27、数据传输：支持模块无线连接、支持模组级无线连接；</w:t>
            </w:r>
          </w:p>
          <w:p w14:paraId="5F81B120">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28、数据存储：支持模块级亮度色度较正数据的存储及回读功能；</w:t>
            </w:r>
          </w:p>
          <w:p w14:paraId="3E55EF5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29、测试模式：配备模组级测试按钮，支持电源和信号状态显示；</w:t>
            </w:r>
          </w:p>
          <w:p w14:paraId="3BAA803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30、维护方式：支持前维护、后维护；</w:t>
            </w:r>
          </w:p>
          <w:p w14:paraId="725462AA">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31、工作电压：支持220V,频率50/60Hz;具有PFC功能；</w:t>
            </w:r>
          </w:p>
          <w:p w14:paraId="3CFF8960">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32、峰值功耗：≤450W/㎡；</w:t>
            </w:r>
          </w:p>
          <w:p w14:paraId="355FCBE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33、平均功耗：≤110W/㎡；</w:t>
            </w:r>
          </w:p>
          <w:p w14:paraId="4D0E64FE">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34、温升：正常使用时在达到热平衡后，屏体结构的金属部分的温升不超过30K,绝缘材料的温升不超过50K；</w:t>
            </w:r>
          </w:p>
          <w:p w14:paraId="69130E5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35、平均失效工作时间：组成LED显示屏的显示模组平均失效间隔工作时间MTBF( m1)不低于100000h；</w:t>
            </w:r>
          </w:p>
          <w:p w14:paraId="3697276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36、电流防护：具有过流、断路、短路、过压、欠压、超温、超负荷断电；</w:t>
            </w:r>
          </w:p>
          <w:p w14:paraId="496EE08D">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37、防护功能：防高温，防静电短路、防水、防潮、防尘、防腐蚀；</w:t>
            </w:r>
          </w:p>
          <w:p w14:paraId="4C82F9E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38、振动：符合GB/T6587标准；</w:t>
            </w:r>
          </w:p>
          <w:p w14:paraId="6AF1CB18">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39、动输试验：符合GB/T6587标准；</w:t>
            </w:r>
          </w:p>
          <w:p w14:paraId="017F3E5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40、防火阻燃：符合BS476-7标准，防火达到UL94 V-0；</w:t>
            </w:r>
          </w:p>
          <w:p w14:paraId="22142EA4">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41、防潮性能：10%RH-95%RH范围内，显示屏正常工作；</w:t>
            </w:r>
          </w:p>
          <w:p w14:paraId="4713EE01">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42、光生物安全及蓝光危害评估：符合肉眼观看标准；</w:t>
            </w:r>
          </w:p>
          <w:p w14:paraId="2B97DBC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43、电磁兼容性：符合GB9254标准及GB/T 17618标准；</w:t>
            </w:r>
          </w:p>
          <w:p w14:paraId="7E82E822">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44、高温/低温工作：符合GB/T2423标准；</w:t>
            </w:r>
          </w:p>
          <w:p w14:paraId="1CAF92B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45、高温/低温贮存：符合GB/T2423标准；</w:t>
            </w:r>
          </w:p>
          <w:p w14:paraId="57DA17EC">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46、湿热负载/恒定湿热：符合GB/T2423标准；</w:t>
            </w:r>
          </w:p>
          <w:p w14:paraId="1A030B06">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47、安全特性：符合GB4943.1、IEC60950-1、EN60950-1标准；</w:t>
            </w:r>
          </w:p>
          <w:p w14:paraId="0AAB054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48、盐雾测试：符合GB/T10125-2012标准；</w:t>
            </w:r>
          </w:p>
          <w:p w14:paraId="05956A33">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▲49、投标产品需具备中国质量认证中心颁发的中国节能产品认证证书（提供复印件加盖公章）</w:t>
            </w:r>
          </w:p>
          <w:p w14:paraId="4267BD27">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▲50、LED生产商针对此项目授权书文件。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5617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74ED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F73EF">
            <w:pPr>
              <w:spacing w:line="240" w:lineRule="auto"/>
              <w:jc w:val="center"/>
              <w:rPr>
                <w:rFonts w:hint="eastAsia" w:ascii="宋体" w:hAnsi="宋体" w:eastAsia="宋体" w:cs="宋体"/>
                <w:i w:val="0"/>
                <w:iCs w:val="0"/>
                <w:color w:val="000000"/>
                <w:sz w:val="21"/>
                <w:szCs w:val="21"/>
                <w:u w:val="none"/>
              </w:rPr>
            </w:pPr>
          </w:p>
        </w:tc>
      </w:tr>
      <w:tr w14:paraId="7658A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6944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4FBC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开关电源</w:t>
            </w:r>
          </w:p>
        </w:tc>
        <w:tc>
          <w:tcPr>
            <w:tcW w:w="4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F9CC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1、输入电压范围： 200～240VAC  额定输出电压：5VDC；</w:t>
            </w:r>
          </w:p>
          <w:p w14:paraId="0F3EEE40">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2、纹波和噪声：≤200mVp-p；</w:t>
            </w:r>
          </w:p>
          <w:p w14:paraId="5730AC6A">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3、过载保护：额定负载的110~150%范围内电源保护，去载恢复正常输出；</w:t>
            </w:r>
          </w:p>
          <w:p w14:paraId="65589B44">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4、短路保护：输出端短路时电源保护，输出关断，去掉短路恢复正常输出；</w:t>
            </w:r>
          </w:p>
          <w:p w14:paraId="214D01DA">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5、安全标准：符合GB4943.1-2011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59F6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0DF8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0262B">
            <w:pPr>
              <w:spacing w:line="240" w:lineRule="auto"/>
              <w:jc w:val="center"/>
              <w:rPr>
                <w:rFonts w:hint="eastAsia" w:ascii="宋体" w:hAnsi="宋体" w:eastAsia="宋体" w:cs="宋体"/>
                <w:i w:val="0"/>
                <w:iCs w:val="0"/>
                <w:color w:val="000000"/>
                <w:sz w:val="21"/>
                <w:szCs w:val="21"/>
                <w:u w:val="none"/>
              </w:rPr>
            </w:pPr>
          </w:p>
        </w:tc>
      </w:tr>
      <w:tr w14:paraId="687CA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5B85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117F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视频处理器</w:t>
            </w:r>
          </w:p>
        </w:tc>
        <w:tc>
          <w:tcPr>
            <w:tcW w:w="4524" w:type="dxa"/>
            <w:tcBorders>
              <w:top w:val="single" w:color="000000" w:sz="4" w:space="0"/>
              <w:left w:val="single" w:color="000000" w:sz="4" w:space="0"/>
              <w:bottom w:val="single" w:color="000000" w:sz="4" w:space="0"/>
              <w:right w:val="single" w:color="000000" w:sz="4" w:space="0"/>
            </w:tcBorders>
            <w:shd w:val="clear" w:color="auto" w:fill="auto"/>
            <w:vAlign w:val="top"/>
          </w:tcPr>
          <w:p w14:paraId="2E0CA1A1">
            <w:pPr>
              <w:pStyle w:val="24"/>
              <w:numPr>
                <w:ilvl w:val="0"/>
                <w:numId w:val="0"/>
              </w:numPr>
              <w:spacing w:line="240" w:lineRule="auto"/>
              <w:ind w:left="420" w:leftChars="0" w:hanging="420" w:firstLineChars="0"/>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1.</w:t>
            </w:r>
            <w:r>
              <w:rPr>
                <w:rFonts w:hint="eastAsia" w:ascii="宋体" w:hAnsi="宋体" w:eastAsia="宋体" w:cs="宋体"/>
                <w:i w:val="0"/>
                <w:iCs w:val="0"/>
                <w:color w:val="000000"/>
                <w:kern w:val="0"/>
                <w:sz w:val="21"/>
                <w:szCs w:val="21"/>
                <w:u w:val="none"/>
                <w:lang w:val="en-US" w:eastAsia="zh-CN" w:bidi="ar"/>
              </w:rPr>
              <w:t>支持常见的视频接口，包括2 路 HDMI1.3，1 路 DVI，</w:t>
            </w:r>
          </w:p>
          <w:p w14:paraId="46D01A5C">
            <w:pPr>
              <w:pStyle w:val="24"/>
              <w:numPr>
                <w:ilvl w:val="0"/>
                <w:numId w:val="0"/>
              </w:numPr>
              <w:spacing w:line="240" w:lineRule="auto"/>
              <w:ind w:left="420" w:leftChars="0" w:hanging="420" w:firstLineChars="0"/>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2.</w:t>
            </w:r>
            <w:r>
              <w:rPr>
                <w:rFonts w:hint="eastAsia" w:ascii="宋体" w:hAnsi="宋体" w:eastAsia="宋体" w:cs="宋体"/>
                <w:i w:val="0"/>
                <w:iCs w:val="0"/>
                <w:color w:val="000000"/>
                <w:kern w:val="0"/>
                <w:sz w:val="21"/>
                <w:szCs w:val="21"/>
                <w:u w:val="none"/>
                <w:lang w:val="en-US" w:eastAsia="zh-CN" w:bidi="ar"/>
              </w:rPr>
              <w:t xml:space="preserve">支持3.5mm音频输入和3.5mm音频输出。 </w:t>
            </w:r>
          </w:p>
          <w:p w14:paraId="7DD9FD26">
            <w:pPr>
              <w:pStyle w:val="24"/>
              <w:numPr>
                <w:ilvl w:val="0"/>
                <w:numId w:val="0"/>
              </w:numPr>
              <w:spacing w:line="240" w:lineRule="auto"/>
              <w:ind w:left="420" w:leftChars="0" w:hanging="420" w:firstLineChars="0"/>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3.</w:t>
            </w:r>
            <w:r>
              <w:rPr>
                <w:rFonts w:hint="eastAsia" w:ascii="宋体" w:hAnsi="宋体" w:eastAsia="宋体" w:cs="宋体"/>
                <w:i w:val="0"/>
                <w:iCs w:val="0"/>
                <w:color w:val="000000"/>
                <w:kern w:val="0"/>
                <w:sz w:val="21"/>
                <w:szCs w:val="21"/>
                <w:u w:val="none"/>
                <w:lang w:val="en-US" w:eastAsia="zh-CN" w:bidi="ar"/>
              </w:rPr>
              <w:t xml:space="preserve">支持 3 个窗口和 1 路 OSD。  </w:t>
            </w:r>
          </w:p>
          <w:p w14:paraId="024F1367">
            <w:pPr>
              <w:pStyle w:val="24"/>
              <w:numPr>
                <w:ilvl w:val="0"/>
                <w:numId w:val="0"/>
              </w:numPr>
              <w:spacing w:line="240" w:lineRule="auto"/>
              <w:ind w:left="420" w:leftChars="0" w:hanging="420" w:firstLineChars="0"/>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4.</w:t>
            </w:r>
            <w:r>
              <w:rPr>
                <w:rFonts w:hint="eastAsia" w:ascii="宋体" w:hAnsi="宋体" w:eastAsia="宋体" w:cs="宋体"/>
                <w:i w:val="0"/>
                <w:iCs w:val="0"/>
                <w:color w:val="000000"/>
                <w:kern w:val="0"/>
                <w:sz w:val="21"/>
                <w:szCs w:val="21"/>
                <w:u w:val="none"/>
                <w:lang w:val="en-US" w:eastAsia="zh-CN" w:bidi="ar"/>
              </w:rPr>
              <w:t xml:space="preserve">支持快捷配屏和高级配屏功能。  </w:t>
            </w:r>
          </w:p>
          <w:p w14:paraId="5F9E9F43">
            <w:pPr>
              <w:pStyle w:val="24"/>
              <w:numPr>
                <w:ilvl w:val="0"/>
                <w:numId w:val="0"/>
              </w:numPr>
              <w:spacing w:line="240" w:lineRule="auto"/>
              <w:ind w:left="420" w:leftChars="0" w:hanging="420" w:firstLineChars="0"/>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5.</w:t>
            </w:r>
            <w:r>
              <w:rPr>
                <w:rFonts w:hint="eastAsia" w:ascii="宋体" w:hAnsi="宋体" w:eastAsia="宋体" w:cs="宋体"/>
                <w:i w:val="0"/>
                <w:iCs w:val="0"/>
                <w:color w:val="000000"/>
                <w:kern w:val="0"/>
                <w:sz w:val="21"/>
                <w:szCs w:val="21"/>
                <w:u w:val="none"/>
                <w:lang w:val="en-US" w:eastAsia="zh-CN" w:bidi="ar"/>
              </w:rPr>
              <w:t xml:space="preserve">支持 HDMI、DVI 输入分辨率自定义调节。  </w:t>
            </w:r>
          </w:p>
          <w:p w14:paraId="79411973">
            <w:pPr>
              <w:pStyle w:val="24"/>
              <w:numPr>
                <w:ilvl w:val="0"/>
                <w:numId w:val="0"/>
              </w:numPr>
              <w:spacing w:line="240" w:lineRule="auto"/>
              <w:ind w:left="420" w:leftChars="0" w:hanging="420" w:firstLineChars="0"/>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6.</w:t>
            </w:r>
            <w:r>
              <w:rPr>
                <w:rFonts w:hint="eastAsia" w:ascii="宋体" w:hAnsi="宋体" w:eastAsia="宋体" w:cs="宋体"/>
                <w:i w:val="0"/>
                <w:iCs w:val="0"/>
                <w:color w:val="000000"/>
                <w:kern w:val="0"/>
                <w:sz w:val="21"/>
                <w:szCs w:val="21"/>
                <w:u w:val="none"/>
                <w:lang w:val="en-US" w:eastAsia="zh-CN" w:bidi="ar"/>
              </w:rPr>
              <w:t xml:space="preserve">支持设备间备份设置。  </w:t>
            </w:r>
          </w:p>
          <w:p w14:paraId="333AC98A">
            <w:pPr>
              <w:pStyle w:val="24"/>
              <w:numPr>
                <w:ilvl w:val="0"/>
                <w:numId w:val="0"/>
              </w:numPr>
              <w:spacing w:line="240" w:lineRule="auto"/>
              <w:ind w:left="420" w:leftChars="0" w:hanging="420" w:firstLineChars="0"/>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7.</w:t>
            </w:r>
            <w:r>
              <w:rPr>
                <w:rFonts w:hint="eastAsia" w:ascii="宋体" w:hAnsi="宋体" w:eastAsia="宋体" w:cs="宋体"/>
                <w:i w:val="0"/>
                <w:iCs w:val="0"/>
                <w:color w:val="000000"/>
                <w:kern w:val="0"/>
                <w:sz w:val="21"/>
                <w:szCs w:val="21"/>
                <w:u w:val="none"/>
                <w:lang w:val="en-US" w:eastAsia="zh-CN" w:bidi="ar"/>
              </w:rPr>
              <w:t xml:space="preserve">视频输出最大带载高达 390 万像素。   </w:t>
            </w:r>
          </w:p>
          <w:p w14:paraId="58B6B6EA">
            <w:pPr>
              <w:pStyle w:val="24"/>
              <w:numPr>
                <w:ilvl w:val="0"/>
                <w:numId w:val="0"/>
              </w:numPr>
              <w:spacing w:line="240" w:lineRule="auto"/>
              <w:ind w:left="420" w:leftChars="0" w:hanging="420" w:firstLineChars="0"/>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8.</w:t>
            </w:r>
            <w:r>
              <w:rPr>
                <w:rFonts w:hint="eastAsia" w:ascii="宋体" w:hAnsi="宋体" w:eastAsia="宋体" w:cs="宋体"/>
                <w:i w:val="0"/>
                <w:iCs w:val="0"/>
                <w:color w:val="000000"/>
                <w:kern w:val="0"/>
                <w:sz w:val="21"/>
                <w:szCs w:val="21"/>
                <w:u w:val="none"/>
                <w:lang w:val="en-US" w:eastAsia="zh-CN" w:bidi="ar"/>
              </w:rPr>
              <w:t xml:space="preserve">支持一键将优先级最低的窗口全屏自动缩放，增强产品实用性能。 </w:t>
            </w:r>
          </w:p>
          <w:p w14:paraId="752CB94D">
            <w:pPr>
              <w:pStyle w:val="24"/>
              <w:numPr>
                <w:ilvl w:val="0"/>
                <w:numId w:val="0"/>
              </w:numPr>
              <w:spacing w:line="240" w:lineRule="auto"/>
              <w:ind w:left="420" w:leftChars="0" w:hanging="420" w:firstLineChars="0"/>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9.</w:t>
            </w:r>
            <w:r>
              <w:rPr>
                <w:rFonts w:hint="eastAsia" w:ascii="宋体" w:hAnsi="宋体" w:eastAsia="宋体" w:cs="宋体"/>
                <w:i w:val="0"/>
                <w:iCs w:val="0"/>
                <w:color w:val="000000"/>
                <w:kern w:val="0"/>
                <w:sz w:val="21"/>
                <w:szCs w:val="21"/>
                <w:u w:val="none"/>
                <w:lang w:val="en-US" w:eastAsia="zh-CN" w:bidi="ar"/>
              </w:rPr>
              <w:t xml:space="preserve">支持创建 10 个用户场景作为模板保存，方便使用。  </w:t>
            </w:r>
          </w:p>
          <w:p w14:paraId="18A2124E">
            <w:pPr>
              <w:spacing w:after="0" w:line="240" w:lineRule="auto"/>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10.▲设备的接地和连接保护措施，可触及导体部件已经可靠接入保护接地，设备内的保护接地导体和保护连接导体中的元器件未串接开关或过流保护装置，并且所有的接地装置通过耐腐蚀性测试</w:t>
            </w:r>
            <w:r>
              <w:rPr>
                <w:rFonts w:hint="eastAsia" w:ascii="宋体" w:hAnsi="宋体" w:eastAsia="宋体" w:cs="宋体"/>
                <w:b/>
                <w:bCs/>
                <w:i w:val="0"/>
                <w:iCs w:val="0"/>
                <w:color w:val="000000"/>
                <w:kern w:val="0"/>
                <w:sz w:val="21"/>
                <w:szCs w:val="21"/>
                <w:u w:val="none"/>
                <w:lang w:val="en-US" w:eastAsia="zh-CN" w:bidi="ar"/>
              </w:rPr>
              <w:t>（响应条件  需要提供第三方检测机构出具的CNAS、 CMA、ilac-MRA的检测报告 ，需加盖生产厂家公章）</w:t>
            </w:r>
          </w:p>
          <w:p w14:paraId="42BD5BAC">
            <w:pPr>
              <w:spacing w:after="0" w:line="240" w:lineRule="auto"/>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11.▲保证产品安全使用，操作人员接触区无可接触的能量危险，无裸露的电压危险部件在维修人员接触区域，设备内电容器的放电、Up=389Vp，1 秒后 0V</w:t>
            </w:r>
            <w:r>
              <w:rPr>
                <w:rFonts w:hint="eastAsia" w:ascii="宋体" w:hAnsi="宋体" w:eastAsia="宋体" w:cs="宋体"/>
                <w:b/>
                <w:bCs/>
                <w:i w:val="0"/>
                <w:iCs w:val="0"/>
                <w:color w:val="000000"/>
                <w:kern w:val="0"/>
                <w:sz w:val="21"/>
                <w:szCs w:val="21"/>
                <w:u w:val="none"/>
                <w:lang w:val="en-US" w:eastAsia="zh-CN" w:bidi="ar"/>
              </w:rPr>
              <w:t>（响应条件  需要提供第三方检测机构出具的CNAS、 CMA、ilac-MRA的检测报告 ，需加盖生产厂家公章）</w:t>
            </w:r>
          </w:p>
          <w:p w14:paraId="37F295E1">
            <w:pPr>
              <w:spacing w:after="0" w:line="240" w:lineRule="auto"/>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12.▲为保证产品具备电气绝缘能力，绝缘材料未使用石棉或者吸湿性材料用于绝缘，同时通过在25℃,93%R.H的环境下经过,48h的湿热处理</w:t>
            </w:r>
            <w:r>
              <w:rPr>
                <w:rFonts w:hint="eastAsia" w:ascii="宋体" w:hAnsi="宋体" w:eastAsia="宋体" w:cs="宋体"/>
                <w:b/>
                <w:bCs/>
                <w:i w:val="0"/>
                <w:iCs w:val="0"/>
                <w:color w:val="000000"/>
                <w:kern w:val="0"/>
                <w:sz w:val="21"/>
                <w:szCs w:val="21"/>
                <w:u w:val="none"/>
                <w:lang w:val="en-US" w:eastAsia="zh-CN" w:bidi="ar"/>
              </w:rPr>
              <w:t>（响应条件  需要提供第三方检测机构出具的CNAS、 CMA、ilac-MRA的检测报告 ，需加盖生产厂家公章</w:t>
            </w:r>
            <w:r>
              <w:rPr>
                <w:rFonts w:hint="eastAsia" w:ascii="宋体" w:hAnsi="宋体" w:eastAsia="宋体" w:cs="宋体"/>
                <w:i w:val="0"/>
                <w:iCs w:val="0"/>
                <w:color w:val="000000"/>
                <w:kern w:val="0"/>
                <w:sz w:val="21"/>
                <w:szCs w:val="21"/>
                <w:u w:val="none"/>
                <w:lang w:val="en-US" w:eastAsia="zh-CN" w:bidi="ar"/>
              </w:rPr>
              <w:t>）</w:t>
            </w:r>
          </w:p>
          <w:p w14:paraId="2C94CF1D">
            <w:pPr>
              <w:spacing w:after="0" w:line="240" w:lineRule="auto"/>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13.▲保证产品结构以及机械强度在使用过程中无风险，设备需要通过冲击试验、经受 750mm 高度不同方向跌落 3 次跌落试验测试，无危险呈现</w:t>
            </w:r>
            <w:r>
              <w:rPr>
                <w:rFonts w:hint="eastAsia" w:ascii="宋体" w:hAnsi="宋体" w:eastAsia="宋体" w:cs="宋体"/>
                <w:b/>
                <w:bCs/>
                <w:i w:val="0"/>
                <w:iCs w:val="0"/>
                <w:color w:val="000000"/>
                <w:kern w:val="0"/>
                <w:sz w:val="21"/>
                <w:szCs w:val="21"/>
                <w:u w:val="none"/>
                <w:lang w:val="en-US" w:eastAsia="zh-CN" w:bidi="ar"/>
              </w:rPr>
              <w:t>（响应条件  需要提供第三方检测机构出具的CNAS、 CMA、ilac-MRA的检测报告 ，需加盖生产厂家公章）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82BB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DF6A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4B934">
            <w:pPr>
              <w:spacing w:line="240" w:lineRule="auto"/>
              <w:jc w:val="center"/>
              <w:rPr>
                <w:rFonts w:hint="eastAsia" w:ascii="宋体" w:hAnsi="宋体" w:eastAsia="宋体" w:cs="宋体"/>
                <w:i w:val="0"/>
                <w:iCs w:val="0"/>
                <w:color w:val="000000"/>
                <w:sz w:val="21"/>
                <w:szCs w:val="21"/>
                <w:u w:val="none"/>
              </w:rPr>
            </w:pPr>
          </w:p>
        </w:tc>
      </w:tr>
      <w:tr w14:paraId="5F3FD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3FA0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77F4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同步接收卡</w:t>
            </w:r>
          </w:p>
        </w:tc>
        <w:tc>
          <w:tcPr>
            <w:tcW w:w="4524" w:type="dxa"/>
            <w:tcBorders>
              <w:top w:val="single" w:color="000000" w:sz="4" w:space="0"/>
              <w:left w:val="single" w:color="000000" w:sz="4" w:space="0"/>
              <w:bottom w:val="single" w:color="000000" w:sz="4" w:space="0"/>
              <w:right w:val="single" w:color="000000" w:sz="4" w:space="0"/>
            </w:tcBorders>
            <w:shd w:val="clear" w:color="auto" w:fill="auto"/>
            <w:vAlign w:val="top"/>
          </w:tcPr>
          <w:p w14:paraId="754B77E2">
            <w:pPr>
              <w:spacing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1.单卡最大带载 512×384像素，最多支持 32 组RGB 并行数据；</w:t>
            </w:r>
          </w:p>
          <w:p w14:paraId="4216769D">
            <w:pPr>
              <w:spacing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2.采用 16个标准HUB75接口，具有高稳定性和高可靠性，适用于多种环境的搭建；</w:t>
            </w:r>
          </w:p>
          <w:p w14:paraId="6802D0B4">
            <w:pPr>
              <w:spacing w:after="120" w:afterLines="5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3.支持逐点亮色度校正，可以对每个灯点的亮度和色度进行校正，有效消除色差，使整屏的亮度和色度达到高度均匀一致，提高显示屏的画质</w:t>
            </w:r>
          </w:p>
          <w:p w14:paraId="5A84FF54">
            <w:pPr>
              <w:spacing w:after="120" w:afterLines="5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4.快速亮暗线调节在调试软件上进行快速亮暗线调节，快速解决因箱体及模组拼接造成的显示屏亮暗线，调节过程中即时生效，简单易用。</w:t>
            </w:r>
          </w:p>
          <w:p w14:paraId="454BA7CD">
            <w:pPr>
              <w:spacing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5.配合支持 3D 功能的独立主控，在软件或独立主控的操作面板上开启 3D 功能，并设置 3D 参数，使画面显示 3D 效果。</w:t>
            </w:r>
          </w:p>
          <w:p w14:paraId="1751B23F">
            <w:pPr>
              <w:spacing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6.Mapping功能开启，每个箱体上会显示数字，清楚告诉您当前箱体是哪个网口下的哪张接收卡，直观的看到显示屏连接状况。</w:t>
            </w:r>
          </w:p>
          <w:p w14:paraId="6372418A">
            <w:pPr>
              <w:spacing w:after="120" w:afterLines="5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7.可以将指定图片设置为显示屏的开机、网线断开或无视频源信号时的画面或者最后一帧画面</w:t>
            </w:r>
          </w:p>
          <w:p w14:paraId="47BF89E2">
            <w:pPr>
              <w:spacing w:line="240" w:lineRule="auto"/>
              <w:jc w:val="left"/>
              <w:rPr>
                <w:rFonts w:hint="eastAsia" w:ascii="宋体" w:hAnsi="宋体" w:eastAsia="宋体" w:cs="宋体"/>
                <w:color w:val="auto"/>
                <w:sz w:val="21"/>
                <w:szCs w:val="21"/>
              </w:rPr>
            </w:pPr>
            <w:r>
              <w:rPr>
                <w:rFonts w:hint="eastAsia" w:ascii="宋体" w:hAnsi="宋体" w:eastAsia="宋体" w:cs="宋体"/>
                <w:b/>
                <w:bCs/>
                <w:color w:val="auto"/>
                <w:sz w:val="21"/>
                <w:szCs w:val="21"/>
              </w:rPr>
              <w:t>8.</w:t>
            </w:r>
            <w:r>
              <w:rPr>
                <w:rFonts w:hint="eastAsia" w:ascii="宋体" w:hAnsi="宋体" w:eastAsia="宋体" w:cs="宋体"/>
                <w:color w:val="auto"/>
                <w:sz w:val="21"/>
                <w:szCs w:val="21"/>
              </w:rPr>
              <w:t>可以监测自身的温度和电压，无需其他外设，在软件上可以查看接收卡的温度和电压，检测发送设备与接收卡间或接收卡与接收卡间的网络通讯质量，记录错误包数，协助排除网络通讯隐患，</w:t>
            </w:r>
          </w:p>
          <w:p w14:paraId="1E385B8A">
            <w:pPr>
              <w:spacing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 xml:space="preserve">9.支持5pin 液晶模块，用于显示接收卡的温度、电压、单次运行时间和总运行时间。 </w:t>
            </w:r>
          </w:p>
          <w:p w14:paraId="23A9D0FF">
            <w:pPr>
              <w:spacing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10.支持误码率监测接收卡间通讯时传输链路上的数据丢包情况；</w:t>
            </w:r>
          </w:p>
          <w:p w14:paraId="4508092D">
            <w:pPr>
              <w:spacing w:after="120" w:afterLines="5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11.支持可以回读接收卡的固件程序并保存到本地，软件可以回读接收卡配置参数并保存到本地</w:t>
            </w:r>
          </w:p>
          <w:p w14:paraId="34EA7086">
            <w:pPr>
              <w:spacing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12.通过主备冗余机制增加接收卡间网线级联的可靠性。主备级联线路中，当其中一条线路出现故障时，另一条线路会即时工作，保证显示屏正常工作</w:t>
            </w:r>
          </w:p>
          <w:p w14:paraId="6B4266F5">
            <w:pPr>
              <w:spacing w:after="120" w:afterLines="5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13.通过软件在接收卡上保存两份接收卡配置参数，其中一份作为备份参数，</w:t>
            </w:r>
          </w:p>
          <w:p w14:paraId="62782FA6">
            <w:pPr>
              <w:spacing w:after="120" w:afterLines="50" w:line="24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14.通过电源指示灯和状态指示灯不同闪烁状态可以判断，屏体工作状态，无需软件</w:t>
            </w:r>
          </w:p>
          <w:p w14:paraId="72B1D945">
            <w:pPr>
              <w:pStyle w:val="25"/>
              <w:spacing w:line="240" w:lineRule="auto"/>
              <w:jc w:val="left"/>
              <w:rPr>
                <w:rFonts w:hint="eastAsia" w:ascii="宋体" w:hAnsi="宋体" w:eastAsia="宋体" w:cs="宋体"/>
                <w:color w:val="auto"/>
                <w:sz w:val="21"/>
                <w:szCs w:val="21"/>
              </w:rPr>
            </w:pPr>
            <w:r>
              <w:rPr>
                <w:rFonts w:hint="eastAsia" w:ascii="宋体" w:hAnsi="宋体" w:eastAsia="宋体" w:cs="宋体"/>
                <w:i w:val="0"/>
                <w:iCs w:val="0"/>
                <w:color w:val="auto"/>
                <w:kern w:val="0"/>
                <w:sz w:val="21"/>
                <w:szCs w:val="21"/>
                <w:u w:val="none"/>
                <w:lang w:val="en-US" w:eastAsia="zh-CN" w:bidi="ar"/>
              </w:rPr>
              <w:t>15.▲</w:t>
            </w:r>
            <w:r>
              <w:rPr>
                <w:rFonts w:hint="eastAsia" w:ascii="宋体" w:hAnsi="宋体" w:eastAsia="宋体" w:cs="宋体"/>
                <w:color w:val="auto"/>
                <w:sz w:val="21"/>
                <w:szCs w:val="21"/>
              </w:rPr>
              <w:t>设备电路的连接类型采用SELV电路与其他电路连接。</w:t>
            </w:r>
            <w:r>
              <w:rPr>
                <w:rFonts w:hint="eastAsia" w:ascii="宋体" w:hAnsi="宋体" w:eastAsia="宋体" w:cs="宋体"/>
                <w:b/>
                <w:bCs/>
                <w:color w:val="auto"/>
                <w:sz w:val="21"/>
                <w:szCs w:val="21"/>
              </w:rPr>
              <w:t>（响应条件  需要提供第三方检测机构出具的CNAS、 CMA、ilac-MRA的检测报告 ，需加盖生产厂家公章）</w:t>
            </w:r>
          </w:p>
          <w:p w14:paraId="5F70FC69">
            <w:pPr>
              <w:pStyle w:val="25"/>
              <w:spacing w:line="240" w:lineRule="auto"/>
              <w:jc w:val="left"/>
              <w:rPr>
                <w:rFonts w:hint="eastAsia" w:ascii="宋体" w:hAnsi="宋体" w:eastAsia="宋体" w:cs="宋体"/>
                <w:color w:val="auto"/>
                <w:sz w:val="21"/>
                <w:szCs w:val="21"/>
              </w:rPr>
            </w:pPr>
            <w:r>
              <w:rPr>
                <w:rFonts w:hint="eastAsia" w:ascii="宋体" w:hAnsi="宋体" w:eastAsia="宋体" w:cs="宋体"/>
                <w:i w:val="0"/>
                <w:iCs w:val="0"/>
                <w:color w:val="auto"/>
                <w:kern w:val="0"/>
                <w:sz w:val="21"/>
                <w:szCs w:val="21"/>
                <w:u w:val="none"/>
                <w:lang w:val="en-US" w:eastAsia="zh-CN" w:bidi="ar"/>
              </w:rPr>
              <w:t>16.▲</w:t>
            </w:r>
            <w:r>
              <w:rPr>
                <w:rFonts w:hint="eastAsia" w:ascii="宋体" w:hAnsi="宋体" w:eastAsia="宋体" w:cs="宋体"/>
                <w:color w:val="auto"/>
                <w:sz w:val="21"/>
                <w:szCs w:val="21"/>
              </w:rPr>
              <w:t>设备通过电气绝缘测试、机械损伤防护测试、结构设计测试、功能绝缘测试</w:t>
            </w:r>
            <w:r>
              <w:rPr>
                <w:rFonts w:hint="eastAsia" w:ascii="宋体" w:hAnsi="宋体" w:eastAsia="宋体" w:cs="宋体"/>
                <w:b/>
                <w:bCs/>
                <w:color w:val="auto"/>
                <w:sz w:val="21"/>
                <w:szCs w:val="21"/>
              </w:rPr>
              <w:t>（响应条件  需要提供第三方检测机构出具的CNAS、 CMA、ilac-MRA的检测报告 ，需加盖生产厂家公章）</w:t>
            </w:r>
          </w:p>
          <w:p w14:paraId="0E02989C">
            <w:pPr>
              <w:pStyle w:val="25"/>
              <w:spacing w:line="240" w:lineRule="auto"/>
              <w:jc w:val="left"/>
              <w:rPr>
                <w:rFonts w:hint="eastAsia" w:ascii="宋体" w:hAnsi="宋体" w:eastAsia="宋体" w:cs="宋体"/>
                <w:color w:val="FF0000"/>
                <w:kern w:val="2"/>
                <w:sz w:val="21"/>
                <w:szCs w:val="21"/>
                <w:shd w:val="clear" w:color="auto" w:fill="FFFFFF"/>
                <w:lang w:val="en-US" w:eastAsia="zh-CN" w:bidi="ar-SA"/>
              </w:rPr>
            </w:pPr>
            <w:r>
              <w:rPr>
                <w:rFonts w:hint="eastAsia" w:ascii="宋体" w:hAnsi="宋体" w:eastAsia="宋体" w:cs="宋体"/>
                <w:i w:val="0"/>
                <w:iCs w:val="0"/>
                <w:color w:val="auto"/>
                <w:kern w:val="0"/>
                <w:sz w:val="21"/>
                <w:szCs w:val="21"/>
                <w:u w:val="none"/>
                <w:lang w:val="en-US" w:eastAsia="zh-CN" w:bidi="ar"/>
              </w:rPr>
              <w:t>17.▲</w:t>
            </w:r>
            <w:r>
              <w:rPr>
                <w:rFonts w:hint="eastAsia" w:ascii="宋体" w:hAnsi="宋体" w:eastAsia="宋体" w:cs="宋体"/>
                <w:color w:val="auto"/>
                <w:sz w:val="21"/>
                <w:szCs w:val="21"/>
              </w:rPr>
              <w:t>为保证产品具备防火绝燃能力，所投产品需通过防火实验检测。</w:t>
            </w:r>
            <w:r>
              <w:rPr>
                <w:rFonts w:hint="eastAsia" w:ascii="宋体" w:hAnsi="宋体" w:eastAsia="宋体" w:cs="宋体"/>
                <w:b/>
                <w:bCs/>
                <w:color w:val="auto"/>
                <w:sz w:val="21"/>
                <w:szCs w:val="21"/>
              </w:rPr>
              <w:t>（响应条件  需要提供第三方检测机构出具的CNAS、 CMA、ilac-MRA的检测报告 ，需加盖生产厂家公章）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96B2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C950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BFA1B">
            <w:pPr>
              <w:spacing w:line="240" w:lineRule="auto"/>
              <w:jc w:val="center"/>
              <w:rPr>
                <w:rFonts w:hint="eastAsia" w:ascii="宋体" w:hAnsi="宋体" w:eastAsia="宋体" w:cs="宋体"/>
                <w:i w:val="0"/>
                <w:iCs w:val="0"/>
                <w:color w:val="000000"/>
                <w:sz w:val="21"/>
                <w:szCs w:val="21"/>
                <w:u w:val="none"/>
              </w:rPr>
            </w:pPr>
          </w:p>
        </w:tc>
      </w:tr>
      <w:tr w14:paraId="1A0ED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1FF6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2A4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智能配电箱</w:t>
            </w:r>
          </w:p>
        </w:tc>
        <w:tc>
          <w:tcPr>
            <w:tcW w:w="4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0A7EF">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智能配电柜定制不锈钢箱体66KW，自动分步上电，手自动上电</w:t>
            </w:r>
          </w:p>
          <w:p w14:paraId="339456C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1、配电柜基础参数</w:t>
            </w:r>
          </w:p>
          <w:p w14:paraId="54423AD9">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2、箱体尺寸≥500*600*180MM</w:t>
            </w:r>
          </w:p>
          <w:p w14:paraId="0AF3FEED">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3、显示屏输出路数：12路</w:t>
            </w:r>
          </w:p>
          <w:p w14:paraId="7BC51B2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4、延时启动：3次</w:t>
            </w:r>
          </w:p>
          <w:p w14:paraId="4163B937">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5、检修插座：1组</w:t>
            </w:r>
          </w:p>
          <w:p w14:paraId="628D6F7B">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6、PLC远程控制：1组</w:t>
            </w:r>
          </w:p>
          <w:p w14:paraId="03AD59B3">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7、远程控制开关：1个</w:t>
            </w:r>
          </w:p>
          <w:p w14:paraId="0A2DB520">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8、风机线路温度控制：1组</w:t>
            </w:r>
          </w:p>
          <w:p w14:paraId="712BCCE3">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▲9、投标产品需具备CQC认证、、PLC著作权证书（提供复印件并加盖厂商公章）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E0C9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E713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03285">
            <w:pPr>
              <w:spacing w:line="240" w:lineRule="auto"/>
              <w:jc w:val="center"/>
              <w:rPr>
                <w:rFonts w:hint="eastAsia" w:ascii="宋体" w:hAnsi="宋体" w:eastAsia="宋体" w:cs="宋体"/>
                <w:i w:val="0"/>
                <w:iCs w:val="0"/>
                <w:color w:val="000000"/>
                <w:sz w:val="21"/>
                <w:szCs w:val="21"/>
                <w:u w:val="none"/>
              </w:rPr>
            </w:pPr>
          </w:p>
        </w:tc>
      </w:tr>
      <w:tr w14:paraId="1A320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8FAA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7310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钢结构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15860">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40mm*40mm镀锌型钢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4696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C925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FEC26">
            <w:pPr>
              <w:spacing w:line="240" w:lineRule="auto"/>
              <w:jc w:val="center"/>
              <w:rPr>
                <w:rFonts w:hint="eastAsia" w:ascii="宋体" w:hAnsi="宋体" w:eastAsia="宋体" w:cs="宋体"/>
                <w:i w:val="0"/>
                <w:iCs w:val="0"/>
                <w:color w:val="000000"/>
                <w:sz w:val="21"/>
                <w:szCs w:val="21"/>
                <w:u w:val="none"/>
              </w:rPr>
            </w:pPr>
          </w:p>
        </w:tc>
      </w:tr>
      <w:tr w14:paraId="3A0C5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C0A5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BBDA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不锈钢包边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FE3E6">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黑色镜面不锈钢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299F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415F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5DFC9">
            <w:pPr>
              <w:spacing w:line="240" w:lineRule="auto"/>
              <w:jc w:val="center"/>
              <w:rPr>
                <w:rFonts w:hint="eastAsia" w:ascii="宋体" w:hAnsi="宋体" w:eastAsia="宋体" w:cs="宋体"/>
                <w:i w:val="0"/>
                <w:iCs w:val="0"/>
                <w:color w:val="000000"/>
                <w:sz w:val="21"/>
                <w:szCs w:val="21"/>
                <w:u w:val="none"/>
              </w:rPr>
            </w:pPr>
          </w:p>
        </w:tc>
      </w:tr>
      <w:tr w14:paraId="08FAD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E083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0B37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电缆、排线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E6D4A">
            <w:pPr>
              <w:spacing w:line="240" w:lineRule="auto"/>
              <w:jc w:val="left"/>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满足屏体需要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7502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4188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7AB0E">
            <w:pPr>
              <w:spacing w:line="240" w:lineRule="auto"/>
              <w:jc w:val="center"/>
              <w:rPr>
                <w:rFonts w:hint="eastAsia" w:ascii="宋体" w:hAnsi="宋体" w:eastAsia="宋体" w:cs="宋体"/>
                <w:i w:val="0"/>
                <w:iCs w:val="0"/>
                <w:color w:val="000000"/>
                <w:sz w:val="21"/>
                <w:szCs w:val="21"/>
                <w:u w:val="none"/>
              </w:rPr>
            </w:pPr>
          </w:p>
        </w:tc>
      </w:tr>
      <w:tr w14:paraId="0D7DC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7F07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D884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管理电脑</w:t>
            </w:r>
          </w:p>
        </w:tc>
        <w:tc>
          <w:tcPr>
            <w:tcW w:w="4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ECE8F">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(I511400/8G/1T+256G)、23.8寸显示器、有线键鼠套装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5E86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93F9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B6A0E">
            <w:pPr>
              <w:spacing w:line="240" w:lineRule="auto"/>
              <w:jc w:val="center"/>
              <w:rPr>
                <w:rFonts w:hint="eastAsia" w:ascii="宋体" w:hAnsi="宋体" w:eastAsia="宋体" w:cs="宋体"/>
                <w:i w:val="0"/>
                <w:iCs w:val="0"/>
                <w:color w:val="000000"/>
                <w:sz w:val="21"/>
                <w:szCs w:val="21"/>
                <w:u w:val="none"/>
              </w:rPr>
            </w:pPr>
          </w:p>
        </w:tc>
      </w:tr>
    </w:tbl>
    <w:p w14:paraId="75AEF229">
      <w:pPr>
        <w:pStyle w:val="11"/>
        <w:keepNext w:val="0"/>
        <w:keepLines w:val="0"/>
        <w:pageBreakBefore w:val="0"/>
        <w:widowControl/>
        <w:kinsoku/>
        <w:wordWrap/>
        <w:overflowPunct/>
        <w:topLinePunct w:val="0"/>
        <w:autoSpaceDE/>
        <w:autoSpaceDN/>
        <w:bidi w:val="0"/>
        <w:adjustRightInd/>
        <w:snapToGrid/>
        <w:spacing w:beforeAutospacing="0" w:afterAutospacing="0" w:line="360" w:lineRule="auto"/>
        <w:ind w:right="391" w:firstLine="240" w:firstLineChars="100"/>
        <w:jc w:val="left"/>
        <w:textAlignment w:val="auto"/>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1.2提供服务范围包括但不限于：</w:t>
      </w:r>
      <w:r>
        <w:rPr>
          <w:rFonts w:hint="eastAsia" w:ascii="宋体" w:hAnsi="宋体" w:eastAsia="宋体" w:cs="宋体"/>
          <w:color w:val="030303"/>
          <w:sz w:val="24"/>
          <w:szCs w:val="24"/>
          <w:shd w:val="clear" w:color="auto" w:fill="FFFFFF"/>
          <w:lang w:eastAsia="zh-CN"/>
        </w:rPr>
        <w:t>弱电项目</w:t>
      </w:r>
      <w:r>
        <w:rPr>
          <w:rFonts w:hint="eastAsia" w:ascii="宋体" w:hAnsi="宋体" w:eastAsia="宋体" w:cs="宋体"/>
          <w:color w:val="030303"/>
          <w:sz w:val="24"/>
          <w:szCs w:val="24"/>
          <w:shd w:val="clear" w:color="auto" w:fill="FFFFFF"/>
        </w:rPr>
        <w:t>的图纸资料、出厂试验、供货、包装、发运、现场交货、现场安装、现场调试、协助验收等。</w:t>
      </w:r>
    </w:p>
    <w:p w14:paraId="7CCF6F0A">
      <w:pPr>
        <w:pStyle w:val="11"/>
        <w:keepNext w:val="0"/>
        <w:keepLines w:val="0"/>
        <w:pageBreakBefore w:val="0"/>
        <w:widowControl/>
        <w:kinsoku/>
        <w:wordWrap/>
        <w:overflowPunct/>
        <w:topLinePunct w:val="0"/>
        <w:autoSpaceDE/>
        <w:autoSpaceDN/>
        <w:bidi w:val="0"/>
        <w:adjustRightInd/>
        <w:snapToGrid/>
        <w:spacing w:beforeAutospacing="0" w:afterAutospacing="0" w:line="360" w:lineRule="auto"/>
        <w:ind w:right="391" w:firstLine="240" w:firstLineChars="100"/>
        <w:jc w:val="left"/>
        <w:textAlignment w:val="auto"/>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1.3售后服务响应时间：</w:t>
      </w:r>
      <w:r>
        <w:rPr>
          <w:rFonts w:hint="eastAsia" w:ascii="宋体" w:hAnsi="宋体" w:eastAsia="宋体" w:cs="宋体"/>
          <w:i w:val="0"/>
          <w:iCs w:val="0"/>
          <w:caps w:val="0"/>
          <w:color w:val="030303"/>
          <w:spacing w:val="0"/>
          <w:sz w:val="24"/>
          <w:szCs w:val="24"/>
          <w:shd w:val="clear" w:fill="FFFFFF"/>
          <w:lang w:val="en-US" w:eastAsia="zh-CN"/>
        </w:rPr>
        <w:t>接到故障通知后工作时间内2h内到达现场，24h内完成故障处理。</w:t>
      </w:r>
    </w:p>
    <w:p w14:paraId="70D4F299">
      <w:pPr>
        <w:pStyle w:val="11"/>
        <w:keepNext w:val="0"/>
        <w:keepLines w:val="0"/>
        <w:pageBreakBefore w:val="0"/>
        <w:widowControl/>
        <w:kinsoku/>
        <w:wordWrap/>
        <w:overflowPunct/>
        <w:topLinePunct w:val="0"/>
        <w:autoSpaceDE/>
        <w:autoSpaceDN/>
        <w:bidi w:val="0"/>
        <w:adjustRightInd/>
        <w:snapToGrid/>
        <w:spacing w:beforeAutospacing="0" w:afterAutospacing="0" w:line="360" w:lineRule="auto"/>
        <w:ind w:right="391" w:firstLine="240" w:firstLineChars="100"/>
        <w:jc w:val="left"/>
        <w:textAlignment w:val="auto"/>
        <w:rPr>
          <w:rFonts w:hint="eastAsia" w:ascii="宋体" w:hAnsi="宋体" w:eastAsia="宋体" w:cs="宋体"/>
          <w:color w:val="030303"/>
          <w:sz w:val="24"/>
          <w:szCs w:val="24"/>
          <w:highlight w:val="none"/>
          <w:shd w:val="clear" w:color="auto" w:fill="FFFFFF"/>
          <w:lang w:val="en-US" w:eastAsia="zh-CN"/>
        </w:rPr>
      </w:pPr>
      <w:r>
        <w:rPr>
          <w:rFonts w:hint="eastAsia" w:ascii="宋体" w:hAnsi="宋体" w:eastAsia="宋体" w:cs="宋体"/>
          <w:color w:val="030303"/>
          <w:sz w:val="24"/>
          <w:szCs w:val="24"/>
          <w:shd w:val="clear" w:color="auto" w:fill="FFFFFF"/>
        </w:rPr>
        <w:t>1.4交货时间：</w:t>
      </w:r>
      <w:r>
        <w:rPr>
          <w:rFonts w:hint="eastAsia" w:ascii="宋体" w:hAnsi="宋体" w:eastAsia="宋体" w:cs="宋体"/>
          <w:color w:val="030303"/>
          <w:sz w:val="24"/>
          <w:szCs w:val="24"/>
          <w:highlight w:val="none"/>
          <w:shd w:val="clear" w:color="auto" w:fill="FFFFFF"/>
          <w:lang w:val="en-US" w:eastAsia="zh-CN"/>
        </w:rPr>
        <w:t>合同签订后20个工作日内。</w:t>
      </w:r>
    </w:p>
    <w:p w14:paraId="41278B80">
      <w:pPr>
        <w:pStyle w:val="11"/>
        <w:widowControl/>
        <w:spacing w:beforeAutospacing="0" w:afterAutospacing="0" w:line="360" w:lineRule="auto"/>
        <w:ind w:left="390" w:leftChars="0" w:right="390"/>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四、供应商资格条件：</w:t>
      </w:r>
    </w:p>
    <w:p w14:paraId="34166D9A">
      <w:pPr>
        <w:pStyle w:val="11"/>
        <w:widowControl/>
        <w:spacing w:beforeAutospacing="0" w:afterAutospacing="0" w:line="360" w:lineRule="auto"/>
        <w:ind w:right="390" w:firstLine="240" w:firstLineChars="1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1、在中华人民共和国注册，具有独立承担民事责任的能力；</w:t>
      </w:r>
    </w:p>
    <w:p w14:paraId="3D0270E9">
      <w:pPr>
        <w:pStyle w:val="11"/>
        <w:widowControl/>
        <w:spacing w:beforeAutospacing="0" w:afterAutospacing="0" w:line="360" w:lineRule="auto"/>
        <w:ind w:right="390" w:firstLine="240" w:firstLineChars="1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lang w:val="en-US" w:eastAsia="zh-CN"/>
        </w:rPr>
        <w:t>2</w:t>
      </w:r>
      <w:r>
        <w:rPr>
          <w:rFonts w:hint="eastAsia" w:ascii="宋体" w:hAnsi="宋体" w:eastAsia="宋体" w:cs="宋体"/>
          <w:color w:val="030303"/>
          <w:sz w:val="24"/>
          <w:szCs w:val="24"/>
          <w:shd w:val="clear" w:color="auto" w:fill="FFFFFF"/>
        </w:rPr>
        <w:t>、投标人具有良好的商业信誉和财务状况，没有处于被责令停业或破产状态，且资产未被重组、接管和冻结；</w:t>
      </w:r>
    </w:p>
    <w:p w14:paraId="67281D94">
      <w:pPr>
        <w:pStyle w:val="11"/>
        <w:widowControl/>
        <w:spacing w:beforeAutospacing="0" w:afterAutospacing="0" w:line="360" w:lineRule="auto"/>
        <w:ind w:left="390" w:leftChars="0" w:right="390" w:firstLine="12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lang w:val="en-US" w:eastAsia="zh-CN"/>
        </w:rPr>
        <w:t>3</w:t>
      </w:r>
      <w:r>
        <w:rPr>
          <w:rFonts w:hint="eastAsia" w:ascii="宋体" w:hAnsi="宋体" w:eastAsia="宋体" w:cs="宋体"/>
          <w:color w:val="030303"/>
          <w:sz w:val="24"/>
          <w:szCs w:val="24"/>
          <w:shd w:val="clear" w:color="auto" w:fill="FFFFFF"/>
        </w:rPr>
        <w:t>、投标人未被最高人民法院在“信用中国”网站（www.creditchina.gov.cn）列入失信被执行人名单。</w:t>
      </w:r>
    </w:p>
    <w:p w14:paraId="1BFA56FB">
      <w:pPr>
        <w:pStyle w:val="11"/>
        <w:widowControl/>
        <w:spacing w:beforeAutospacing="0" w:afterAutospacing="0" w:line="360" w:lineRule="auto"/>
        <w:ind w:left="0" w:leftChars="0" w:right="390" w:firstLine="480" w:firstLineChars="2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五、报价文件内容：</w:t>
      </w:r>
    </w:p>
    <w:p w14:paraId="76DB397A">
      <w:pPr>
        <w:pStyle w:val="11"/>
        <w:widowControl/>
        <w:spacing w:beforeAutospacing="0" w:afterAutospacing="0" w:line="360" w:lineRule="auto"/>
        <w:ind w:left="0" w:leftChars="0" w:right="390" w:firstLine="720" w:firstLineChars="3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1、投标报价表；</w:t>
      </w:r>
    </w:p>
    <w:p w14:paraId="33A9ECF9">
      <w:pPr>
        <w:pStyle w:val="11"/>
        <w:widowControl/>
        <w:spacing w:beforeAutospacing="0" w:afterAutospacing="0" w:line="360" w:lineRule="auto"/>
        <w:ind w:left="0" w:leftChars="0" w:right="390" w:firstLine="720" w:firstLineChars="3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2、公司营业执照；</w:t>
      </w:r>
    </w:p>
    <w:p w14:paraId="2E77308D">
      <w:pPr>
        <w:pStyle w:val="11"/>
        <w:widowControl/>
        <w:spacing w:beforeAutospacing="0" w:afterAutospacing="0" w:line="360" w:lineRule="auto"/>
        <w:ind w:left="0" w:leftChars="0" w:right="390" w:firstLine="720" w:firstLineChars="3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3、相关资质证书；</w:t>
      </w:r>
    </w:p>
    <w:p w14:paraId="654B4630">
      <w:pPr>
        <w:pStyle w:val="11"/>
        <w:widowControl/>
        <w:spacing w:beforeAutospacing="0" w:afterAutospacing="0" w:line="360" w:lineRule="auto"/>
        <w:ind w:left="0" w:leftChars="0" w:right="390" w:firstLine="720" w:firstLineChars="3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 xml:space="preserve">4、经销商需提供授权证明。    </w:t>
      </w:r>
    </w:p>
    <w:p w14:paraId="7F500C9D">
      <w:pPr>
        <w:pStyle w:val="11"/>
        <w:widowControl/>
        <w:spacing w:beforeAutospacing="0" w:afterAutospacing="0" w:line="360" w:lineRule="auto"/>
        <w:ind w:left="0" w:leftChars="0" w:right="390" w:firstLine="480" w:firstLineChars="2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六、评标原则：</w:t>
      </w:r>
    </w:p>
    <w:p w14:paraId="1F67AB53">
      <w:pPr>
        <w:pStyle w:val="11"/>
        <w:widowControl/>
        <w:spacing w:beforeAutospacing="0" w:afterAutospacing="0" w:line="360" w:lineRule="auto"/>
        <w:ind w:left="0" w:leftChars="0" w:right="390" w:firstLine="480" w:firstLineChars="2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1、企业综合实力；</w:t>
      </w:r>
    </w:p>
    <w:p w14:paraId="274B3AF0">
      <w:pPr>
        <w:pStyle w:val="11"/>
        <w:widowControl/>
        <w:spacing w:beforeAutospacing="0" w:afterAutospacing="0" w:line="360" w:lineRule="auto"/>
        <w:ind w:left="0" w:leftChars="0" w:right="390" w:firstLine="480" w:firstLineChars="2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2、资质合格；</w:t>
      </w:r>
    </w:p>
    <w:p w14:paraId="0DA3DF96">
      <w:pPr>
        <w:pStyle w:val="11"/>
        <w:widowControl/>
        <w:spacing w:beforeAutospacing="0" w:afterAutospacing="0" w:line="360" w:lineRule="auto"/>
        <w:ind w:left="0" w:leftChars="0" w:right="390" w:firstLine="480" w:firstLineChars="2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3、质量可靠；</w:t>
      </w:r>
    </w:p>
    <w:p w14:paraId="7B4D483B">
      <w:pPr>
        <w:pStyle w:val="11"/>
        <w:widowControl/>
        <w:spacing w:beforeAutospacing="0" w:afterAutospacing="0" w:line="360" w:lineRule="auto"/>
        <w:ind w:left="210" w:leftChars="100" w:right="390" w:firstLine="240" w:firstLineChars="100"/>
        <w:jc w:val="left"/>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4、</w:t>
      </w:r>
      <w:r>
        <w:rPr>
          <w:rFonts w:hint="eastAsia" w:ascii="宋体" w:hAnsi="宋体" w:eastAsia="宋体" w:cs="宋体"/>
          <w:i w:val="0"/>
          <w:iCs w:val="0"/>
          <w:caps w:val="0"/>
          <w:color w:val="auto"/>
          <w:spacing w:val="0"/>
          <w:sz w:val="24"/>
          <w:szCs w:val="24"/>
          <w:shd w:val="clear" w:fill="FFFFFF"/>
          <w:lang w:val="en-US" w:eastAsia="zh-CN"/>
        </w:rPr>
        <w:t>采用综合评分法：总分100分，其中报价80分，企业履约评价10分，企业综合实力10分；总得分最高中标（详细见评分办法）。</w:t>
      </w:r>
    </w:p>
    <w:p w14:paraId="3F1451AE">
      <w:pPr>
        <w:pStyle w:val="11"/>
        <w:widowControl/>
        <w:spacing w:before="120" w:beforeAutospacing="0" w:after="120" w:afterAutospacing="0" w:line="360" w:lineRule="auto"/>
        <w:ind w:left="390" w:leftChars="0" w:right="390"/>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七、报价截止时间：2024年9月</w:t>
      </w:r>
      <w:r>
        <w:rPr>
          <w:rFonts w:hint="eastAsia" w:ascii="宋体" w:hAnsi="宋体" w:eastAsia="宋体" w:cs="宋体"/>
          <w:color w:val="030303"/>
          <w:sz w:val="24"/>
          <w:szCs w:val="24"/>
          <w:shd w:val="clear" w:color="auto" w:fill="FFFFFF"/>
          <w:lang w:val="en-US" w:eastAsia="zh-CN"/>
        </w:rPr>
        <w:t>20</w:t>
      </w:r>
      <w:r>
        <w:rPr>
          <w:rFonts w:hint="eastAsia" w:ascii="宋体" w:hAnsi="宋体" w:eastAsia="宋体" w:cs="宋体"/>
          <w:color w:val="030303"/>
          <w:sz w:val="24"/>
          <w:szCs w:val="24"/>
          <w:shd w:val="clear" w:color="auto" w:fill="FFFFFF"/>
        </w:rPr>
        <w:t>日09:30（北京时间）</w:t>
      </w:r>
    </w:p>
    <w:p w14:paraId="704E427F">
      <w:pPr>
        <w:pStyle w:val="11"/>
        <w:widowControl/>
        <w:spacing w:before="120" w:beforeAutospacing="0" w:after="120" w:afterAutospacing="0" w:line="360" w:lineRule="auto"/>
        <w:ind w:left="390" w:leftChars="0" w:right="39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八、投标地址：不见面开标方式，报价文件邮寄宁国市永祥电力工程技术有限公司材料部，联系人：程先生，联系号码：15345639105。</w:t>
      </w:r>
    </w:p>
    <w:p w14:paraId="461FEBC4">
      <w:pPr>
        <w:pStyle w:val="11"/>
        <w:widowControl/>
        <w:spacing w:before="120" w:beforeAutospacing="0" w:after="120" w:afterAutospacing="0" w:line="360" w:lineRule="auto"/>
        <w:ind w:left="390" w:leftChars="0" w:right="39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九、开标时间：2024年9月</w:t>
      </w:r>
      <w:r>
        <w:rPr>
          <w:rFonts w:hint="eastAsia" w:ascii="宋体" w:hAnsi="宋体" w:eastAsia="宋体" w:cs="宋体"/>
          <w:color w:val="030303"/>
          <w:sz w:val="24"/>
          <w:szCs w:val="24"/>
          <w:shd w:val="clear" w:color="auto" w:fill="FFFFFF"/>
          <w:lang w:val="en-US" w:eastAsia="zh-CN"/>
        </w:rPr>
        <w:t>20</w:t>
      </w:r>
      <w:r>
        <w:rPr>
          <w:rFonts w:hint="eastAsia" w:ascii="宋体" w:hAnsi="宋体" w:eastAsia="宋体" w:cs="宋体"/>
          <w:color w:val="030303"/>
          <w:sz w:val="24"/>
          <w:szCs w:val="24"/>
          <w:shd w:val="clear" w:color="auto" w:fill="FFFFFF"/>
        </w:rPr>
        <w:t>日09:30（北京时间）</w:t>
      </w:r>
    </w:p>
    <w:p w14:paraId="1922D27D">
      <w:pPr>
        <w:pStyle w:val="11"/>
        <w:widowControl/>
        <w:spacing w:before="120" w:beforeAutospacing="0" w:after="120" w:afterAutospacing="0" w:line="360" w:lineRule="auto"/>
        <w:ind w:left="390" w:leftChars="0" w:right="390"/>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十、开标地址：</w:t>
      </w:r>
      <w:r>
        <w:rPr>
          <w:rFonts w:hint="eastAsia" w:ascii="宋体" w:hAnsi="宋体" w:eastAsia="宋体" w:cs="宋体"/>
          <w:color w:val="030303"/>
          <w:sz w:val="24"/>
          <w:szCs w:val="24"/>
          <w:shd w:val="clear" w:fill="FFFFFF"/>
        </w:rPr>
        <w:t>科创服务中心大楼</w:t>
      </w:r>
      <w:r>
        <w:rPr>
          <w:rFonts w:hint="eastAsia" w:ascii="宋体" w:hAnsi="宋体" w:eastAsia="宋体" w:cs="宋体"/>
          <w:color w:val="030303"/>
          <w:sz w:val="24"/>
          <w:szCs w:val="24"/>
          <w:shd w:val="clear" w:color="auto" w:fill="FFFFFF"/>
        </w:rPr>
        <w:t>宁国市永祥电力工程技术有限公司</w:t>
      </w:r>
      <w:r>
        <w:rPr>
          <w:rFonts w:hint="eastAsia" w:ascii="宋体" w:hAnsi="宋体" w:eastAsia="宋体" w:cs="宋体"/>
          <w:color w:val="030303"/>
          <w:sz w:val="24"/>
          <w:szCs w:val="24"/>
          <w:shd w:val="clear" w:color="auto" w:fill="FFFFFF"/>
          <w:lang w:eastAsia="zh-CN"/>
        </w:rPr>
        <w:t>七</w:t>
      </w:r>
      <w:r>
        <w:rPr>
          <w:rFonts w:hint="eastAsia" w:ascii="宋体" w:hAnsi="宋体" w:eastAsia="宋体" w:cs="宋体"/>
          <w:color w:val="030303"/>
          <w:sz w:val="24"/>
          <w:szCs w:val="24"/>
          <w:shd w:val="clear" w:color="auto" w:fill="FFFFFF"/>
        </w:rPr>
        <w:t>楼会议室</w:t>
      </w:r>
    </w:p>
    <w:p w14:paraId="5191A4E9">
      <w:pPr>
        <w:pStyle w:val="11"/>
        <w:widowControl/>
        <w:spacing w:beforeAutospacing="0" w:afterAutospacing="0" w:line="360" w:lineRule="auto"/>
        <w:ind w:left="390" w:leftChars="0" w:right="390"/>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十一、投标保证金：无</w:t>
      </w:r>
    </w:p>
    <w:p w14:paraId="33E99BF0">
      <w:pPr>
        <w:pStyle w:val="11"/>
        <w:widowControl/>
        <w:spacing w:before="120" w:beforeAutospacing="0" w:after="120" w:afterAutospacing="0" w:line="360" w:lineRule="auto"/>
        <w:ind w:left="390" w:leftChars="0" w:right="390"/>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十二、公告期限：</w:t>
      </w:r>
      <w:r>
        <w:rPr>
          <w:rFonts w:hint="eastAsia" w:ascii="宋体" w:hAnsi="宋体" w:eastAsia="宋体" w:cs="宋体"/>
          <w:color w:val="030303"/>
          <w:sz w:val="24"/>
          <w:szCs w:val="24"/>
          <w:shd w:val="clear" w:color="auto" w:fill="FFFFFF"/>
          <w:lang w:val="en-US" w:eastAsia="zh-CN"/>
        </w:rPr>
        <w:t>3</w:t>
      </w:r>
      <w:r>
        <w:rPr>
          <w:rFonts w:hint="eastAsia" w:ascii="宋体" w:hAnsi="宋体" w:eastAsia="宋体" w:cs="宋体"/>
          <w:color w:val="030303"/>
          <w:sz w:val="24"/>
          <w:szCs w:val="24"/>
          <w:shd w:val="clear" w:color="auto" w:fill="FFFFFF"/>
        </w:rPr>
        <w:t>个工作日</w:t>
      </w:r>
      <w:bookmarkStart w:id="0" w:name="_GoBack"/>
      <w:bookmarkEnd w:id="0"/>
    </w:p>
    <w:p w14:paraId="720614BF">
      <w:pPr>
        <w:pStyle w:val="11"/>
        <w:widowControl/>
        <w:spacing w:before="120" w:beforeAutospacing="0" w:after="120" w:afterAutospacing="0" w:line="360" w:lineRule="auto"/>
        <w:ind w:left="390" w:leftChars="0" w:right="390"/>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十三、其他事项：</w:t>
      </w:r>
    </w:p>
    <w:p w14:paraId="46A742B9">
      <w:pPr>
        <w:pStyle w:val="11"/>
        <w:widowControl/>
        <w:spacing w:before="120" w:beforeAutospacing="0" w:after="120" w:afterAutospacing="0" w:line="360" w:lineRule="auto"/>
        <w:ind w:left="390" w:leftChars="0" w:right="390" w:firstLine="225"/>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1、采购单位：宁国市永祥电力工程技术有限公司</w:t>
      </w:r>
    </w:p>
    <w:p w14:paraId="1074AE87">
      <w:pPr>
        <w:pStyle w:val="11"/>
        <w:widowControl/>
        <w:spacing w:before="120" w:beforeAutospacing="0" w:after="120" w:afterAutospacing="0" w:line="360" w:lineRule="auto"/>
        <w:ind w:left="390" w:leftChars="0" w:right="390" w:firstLine="734" w:firstLineChars="306"/>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地址：安徽省宁国市经济技术开发区宁阳西路45号。</w:t>
      </w:r>
    </w:p>
    <w:p w14:paraId="50AE024A">
      <w:pPr>
        <w:pStyle w:val="11"/>
        <w:widowControl/>
        <w:spacing w:before="120" w:beforeAutospacing="0" w:after="120" w:afterAutospacing="0" w:line="360" w:lineRule="auto"/>
        <w:ind w:left="390" w:leftChars="0" w:right="390" w:firstLine="734" w:firstLineChars="306"/>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联系人：程先生</w:t>
      </w:r>
    </w:p>
    <w:p w14:paraId="0DAF66CD">
      <w:pPr>
        <w:pStyle w:val="11"/>
        <w:widowControl/>
        <w:spacing w:before="120" w:beforeAutospacing="0" w:after="120" w:afterAutospacing="0" w:line="360" w:lineRule="auto"/>
        <w:ind w:left="390" w:leftChars="0" w:right="390" w:firstLine="734" w:firstLineChars="306"/>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联系电话：15345639105</w:t>
      </w:r>
    </w:p>
    <w:p w14:paraId="42AD4C73">
      <w:pPr>
        <w:numPr>
          <w:ilvl w:val="0"/>
          <w:numId w:val="10"/>
        </w:numPr>
        <w:spacing w:line="360" w:lineRule="auto"/>
        <w:ind w:left="0" w:leftChars="0"/>
        <w:jc w:val="left"/>
        <w:rPr>
          <w:rFonts w:hint="eastAsia" w:ascii="宋体" w:hAnsi="宋体" w:eastAsia="宋体" w:cs="宋体"/>
          <w:color w:val="030303"/>
          <w:kern w:val="0"/>
          <w:sz w:val="24"/>
          <w:szCs w:val="24"/>
          <w:shd w:val="clear" w:color="auto" w:fill="FFFFFF"/>
          <w:lang w:bidi="ar"/>
        </w:rPr>
      </w:pPr>
      <w:r>
        <w:rPr>
          <w:rFonts w:hint="eastAsia" w:ascii="宋体" w:hAnsi="宋体" w:eastAsia="宋体" w:cs="宋体"/>
          <w:color w:val="030303"/>
          <w:kern w:val="0"/>
          <w:sz w:val="24"/>
          <w:szCs w:val="24"/>
          <w:shd w:val="clear" w:color="auto" w:fill="FFFFFF"/>
          <w:lang w:bidi="ar"/>
        </w:rPr>
        <w:t>封装要求：密封报价、封套上注明工程名称、包号、报价单位。</w:t>
      </w:r>
    </w:p>
    <w:p w14:paraId="06E8F1D3">
      <w:pPr>
        <w:pStyle w:val="26"/>
        <w:widowControl w:val="0"/>
        <w:spacing w:before="0" w:beforeAutospacing="0" w:after="0" w:afterAutospacing="0" w:line="550" w:lineRule="exact"/>
        <w:jc w:val="both"/>
        <w:rPr>
          <w:rFonts w:eastAsia="宋体" w:cs="宋体"/>
          <w:b/>
        </w:rPr>
      </w:pPr>
      <w:r>
        <w:rPr>
          <w:rFonts w:hint="eastAsia" w:eastAsia="宋体" w:cs="宋体"/>
          <w:b/>
        </w:rPr>
        <w:t>评分办法</w:t>
      </w:r>
    </w:p>
    <w:p w14:paraId="02255E67"/>
    <w:tbl>
      <w:tblPr>
        <w:tblStyle w:val="27"/>
        <w:tblW w:w="9500"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12"/>
        <w:gridCol w:w="1854"/>
        <w:gridCol w:w="6734"/>
      </w:tblGrid>
      <w:tr w14:paraId="080B23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3" w:hRule="atLeast"/>
        </w:trPr>
        <w:tc>
          <w:tcPr>
            <w:tcW w:w="912" w:type="dxa"/>
            <w:tcBorders>
              <w:top w:val="single" w:color="000000" w:sz="2" w:space="0"/>
              <w:bottom w:val="single" w:color="auto" w:sz="4" w:space="0"/>
            </w:tcBorders>
            <w:vAlign w:val="center"/>
          </w:tcPr>
          <w:p w14:paraId="6DF271C3">
            <w:pPr>
              <w:spacing w:before="144" w:line="240" w:lineRule="auto"/>
              <w:ind w:left="204"/>
              <w:jc w:val="center"/>
              <w:rPr>
                <w:rFonts w:hint="eastAsia" w:ascii="宋体" w:hAnsi="宋体" w:eastAsia="宋体" w:cs="宋体"/>
                <w:sz w:val="21"/>
                <w:szCs w:val="21"/>
              </w:rPr>
            </w:pPr>
            <w:r>
              <w:rPr>
                <w:rFonts w:hint="eastAsia" w:ascii="宋体" w:hAnsi="宋体" w:eastAsia="宋体" w:cs="宋体"/>
                <w:spacing w:val="7"/>
                <w:sz w:val="21"/>
                <w:szCs w:val="21"/>
              </w:rPr>
              <w:t>序号</w:t>
            </w:r>
          </w:p>
        </w:tc>
        <w:tc>
          <w:tcPr>
            <w:tcW w:w="1854" w:type="dxa"/>
            <w:tcBorders>
              <w:top w:val="single" w:color="000000" w:sz="2" w:space="0"/>
              <w:bottom w:val="single" w:color="auto" w:sz="4" w:space="0"/>
            </w:tcBorders>
            <w:vAlign w:val="center"/>
          </w:tcPr>
          <w:p w14:paraId="04CCE9FC">
            <w:pPr>
              <w:spacing w:before="144" w:line="240" w:lineRule="auto"/>
              <w:ind w:left="122"/>
              <w:jc w:val="center"/>
              <w:rPr>
                <w:rFonts w:hint="eastAsia" w:ascii="宋体" w:hAnsi="宋体" w:eastAsia="宋体" w:cs="宋体"/>
                <w:sz w:val="21"/>
                <w:szCs w:val="21"/>
              </w:rPr>
            </w:pPr>
            <w:r>
              <w:rPr>
                <w:rFonts w:hint="eastAsia" w:ascii="宋体" w:hAnsi="宋体" w:eastAsia="宋体" w:cs="宋体"/>
                <w:spacing w:val="12"/>
                <w:sz w:val="21"/>
                <w:szCs w:val="21"/>
              </w:rPr>
              <w:t>评</w:t>
            </w:r>
            <w:r>
              <w:rPr>
                <w:rFonts w:hint="eastAsia" w:ascii="宋体" w:hAnsi="宋体" w:eastAsia="宋体" w:cs="宋体"/>
                <w:spacing w:val="9"/>
                <w:sz w:val="21"/>
                <w:szCs w:val="21"/>
              </w:rPr>
              <w:t>审因素</w:t>
            </w:r>
          </w:p>
        </w:tc>
        <w:tc>
          <w:tcPr>
            <w:tcW w:w="6734" w:type="dxa"/>
            <w:tcBorders>
              <w:top w:val="single" w:color="000000" w:sz="2" w:space="0"/>
              <w:bottom w:val="single" w:color="auto" w:sz="4" w:space="0"/>
            </w:tcBorders>
            <w:vAlign w:val="center"/>
          </w:tcPr>
          <w:p w14:paraId="2A38163B">
            <w:pPr>
              <w:spacing w:before="145" w:line="240" w:lineRule="auto"/>
              <w:ind w:left="2858"/>
              <w:jc w:val="left"/>
              <w:rPr>
                <w:rFonts w:hint="eastAsia" w:ascii="宋体" w:hAnsi="宋体" w:eastAsia="宋体" w:cs="宋体"/>
                <w:sz w:val="21"/>
                <w:szCs w:val="21"/>
              </w:rPr>
            </w:pPr>
            <w:r>
              <w:rPr>
                <w:rFonts w:hint="eastAsia" w:ascii="宋体" w:hAnsi="宋体" w:eastAsia="宋体" w:cs="宋体"/>
                <w:spacing w:val="12"/>
                <w:sz w:val="21"/>
                <w:szCs w:val="21"/>
              </w:rPr>
              <w:t>评</w:t>
            </w:r>
            <w:r>
              <w:rPr>
                <w:rFonts w:hint="eastAsia" w:ascii="宋体" w:hAnsi="宋体" w:eastAsia="宋体" w:cs="宋体"/>
                <w:spacing w:val="9"/>
                <w:sz w:val="21"/>
                <w:szCs w:val="21"/>
              </w:rPr>
              <w:t>审标准</w:t>
            </w:r>
          </w:p>
        </w:tc>
      </w:tr>
      <w:tr w14:paraId="236097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37" w:hRule="atLeast"/>
        </w:trPr>
        <w:tc>
          <w:tcPr>
            <w:tcW w:w="912" w:type="dxa"/>
            <w:tcBorders>
              <w:top w:val="single" w:color="auto" w:sz="4" w:space="0"/>
              <w:bottom w:val="single" w:color="auto" w:sz="4" w:space="0"/>
            </w:tcBorders>
            <w:vAlign w:val="center"/>
          </w:tcPr>
          <w:p w14:paraId="34C2635C">
            <w:pPr>
              <w:spacing w:line="240" w:lineRule="auto"/>
              <w:jc w:val="center"/>
              <w:rPr>
                <w:rFonts w:hint="eastAsia" w:ascii="宋体" w:hAnsi="宋体" w:eastAsia="宋体" w:cs="宋体"/>
                <w:sz w:val="21"/>
                <w:szCs w:val="21"/>
              </w:rPr>
            </w:pPr>
          </w:p>
          <w:p w14:paraId="6B5672DC">
            <w:pPr>
              <w:spacing w:before="64" w:line="240" w:lineRule="auto"/>
              <w:ind w:firstLine="416" w:firstLineChars="200"/>
              <w:rPr>
                <w:rFonts w:hint="eastAsia" w:ascii="宋体" w:hAnsi="宋体" w:eastAsia="宋体" w:cs="宋体"/>
                <w:sz w:val="21"/>
                <w:szCs w:val="21"/>
              </w:rPr>
            </w:pPr>
            <w:r>
              <w:rPr>
                <w:rFonts w:hint="eastAsia" w:ascii="宋体" w:hAnsi="宋体" w:eastAsia="宋体" w:cs="宋体"/>
                <w:spacing w:val="-1"/>
                <w:sz w:val="21"/>
                <w:szCs w:val="21"/>
              </w:rPr>
              <w:t>1</w:t>
            </w:r>
          </w:p>
        </w:tc>
        <w:tc>
          <w:tcPr>
            <w:tcW w:w="1854" w:type="dxa"/>
            <w:tcBorders>
              <w:top w:val="single" w:color="auto" w:sz="4" w:space="0"/>
              <w:bottom w:val="single" w:color="auto" w:sz="4" w:space="0"/>
            </w:tcBorders>
            <w:vAlign w:val="center"/>
          </w:tcPr>
          <w:p w14:paraId="5CA610F5">
            <w:pPr>
              <w:spacing w:before="69" w:line="240" w:lineRule="auto"/>
              <w:ind w:right="301"/>
              <w:jc w:val="center"/>
              <w:rPr>
                <w:rFonts w:hint="eastAsia" w:ascii="宋体" w:hAnsi="宋体" w:eastAsia="宋体" w:cs="宋体"/>
                <w:sz w:val="21"/>
                <w:szCs w:val="21"/>
              </w:rPr>
            </w:pPr>
            <w:r>
              <w:rPr>
                <w:rFonts w:hint="eastAsia" w:ascii="宋体" w:hAnsi="宋体" w:eastAsia="宋体" w:cs="宋体"/>
                <w:spacing w:val="-4"/>
                <w:sz w:val="21"/>
                <w:szCs w:val="21"/>
              </w:rPr>
              <w:t>分</w:t>
            </w:r>
            <w:r>
              <w:rPr>
                <w:rFonts w:hint="eastAsia" w:ascii="宋体" w:hAnsi="宋体" w:eastAsia="宋体" w:cs="宋体"/>
                <w:spacing w:val="-2"/>
                <w:sz w:val="21"/>
                <w:szCs w:val="21"/>
              </w:rPr>
              <w:t>值构成</w:t>
            </w:r>
          </w:p>
          <w:p w14:paraId="2F96CE33">
            <w:pPr>
              <w:spacing w:before="69" w:line="240" w:lineRule="auto"/>
              <w:ind w:right="301"/>
              <w:jc w:val="center"/>
              <w:rPr>
                <w:rFonts w:hint="eastAsia" w:ascii="宋体" w:hAnsi="宋体" w:eastAsia="宋体" w:cs="宋体"/>
                <w:sz w:val="21"/>
                <w:szCs w:val="21"/>
              </w:rPr>
            </w:pPr>
            <w:r>
              <w:rPr>
                <w:rFonts w:hint="eastAsia" w:ascii="宋体" w:hAnsi="宋体" w:eastAsia="宋体" w:cs="宋体"/>
                <w:spacing w:val="14"/>
                <w:sz w:val="21"/>
                <w:szCs w:val="21"/>
              </w:rPr>
              <w:t>(</w:t>
            </w:r>
            <w:r>
              <w:rPr>
                <w:rFonts w:hint="eastAsia" w:ascii="宋体" w:hAnsi="宋体" w:eastAsia="宋体" w:cs="宋体"/>
                <w:spacing w:val="12"/>
                <w:sz w:val="21"/>
                <w:szCs w:val="21"/>
              </w:rPr>
              <w:t>100分)</w:t>
            </w:r>
          </w:p>
        </w:tc>
        <w:tc>
          <w:tcPr>
            <w:tcW w:w="6734" w:type="dxa"/>
            <w:tcBorders>
              <w:top w:val="single" w:color="auto" w:sz="4" w:space="0"/>
              <w:bottom w:val="single" w:color="000000" w:sz="2" w:space="0"/>
            </w:tcBorders>
            <w:vAlign w:val="center"/>
          </w:tcPr>
          <w:p w14:paraId="645FD63D">
            <w:pPr>
              <w:spacing w:before="154" w:line="240" w:lineRule="auto"/>
              <w:ind w:firstLine="728" w:firstLineChars="400"/>
              <w:jc w:val="center"/>
              <w:rPr>
                <w:rFonts w:hint="eastAsia" w:ascii="宋体" w:hAnsi="宋体" w:eastAsia="宋体" w:cs="宋体"/>
                <w:color w:val="000000"/>
                <w:sz w:val="21"/>
                <w:szCs w:val="21"/>
              </w:rPr>
            </w:pPr>
            <w:r>
              <w:rPr>
                <w:rFonts w:hint="eastAsia" w:ascii="宋体" w:hAnsi="宋体" w:eastAsia="宋体" w:cs="宋体"/>
                <w:spacing w:val="-14"/>
                <w:sz w:val="21"/>
                <w:szCs w:val="21"/>
              </w:rPr>
              <w:t>投</w:t>
            </w:r>
            <w:r>
              <w:rPr>
                <w:rFonts w:hint="eastAsia" w:ascii="宋体" w:hAnsi="宋体" w:eastAsia="宋体" w:cs="宋体"/>
                <w:spacing w:val="-9"/>
                <w:sz w:val="21"/>
                <w:szCs w:val="21"/>
              </w:rPr>
              <w:t>标</w:t>
            </w:r>
            <w:r>
              <w:rPr>
                <w:rFonts w:hint="eastAsia" w:ascii="宋体" w:hAnsi="宋体" w:eastAsia="宋体" w:cs="宋体"/>
                <w:spacing w:val="-7"/>
                <w:sz w:val="21"/>
                <w:szCs w:val="21"/>
              </w:rPr>
              <w:t>报价</w:t>
            </w:r>
            <w:r>
              <w:rPr>
                <w:rFonts w:hint="eastAsia" w:ascii="宋体" w:hAnsi="宋体" w:eastAsia="宋体" w:cs="宋体"/>
                <w:color w:val="000000"/>
                <w:spacing w:val="-7"/>
                <w:sz w:val="21"/>
                <w:szCs w:val="21"/>
              </w:rPr>
              <w:t>：              80 分；</w:t>
            </w:r>
          </w:p>
          <w:p w14:paraId="67A372B6">
            <w:pPr>
              <w:spacing w:before="112" w:line="240" w:lineRule="auto"/>
              <w:ind w:firstLine="712" w:firstLineChars="400"/>
              <w:jc w:val="center"/>
              <w:rPr>
                <w:rFonts w:hint="eastAsia" w:ascii="宋体" w:hAnsi="宋体" w:eastAsia="宋体" w:cs="宋体"/>
                <w:sz w:val="21"/>
                <w:szCs w:val="21"/>
              </w:rPr>
            </w:pPr>
            <w:r>
              <w:rPr>
                <w:rFonts w:hint="eastAsia" w:ascii="宋体" w:hAnsi="宋体" w:eastAsia="宋体" w:cs="宋体"/>
                <w:color w:val="000000"/>
                <w:spacing w:val="-16"/>
                <w:sz w:val="21"/>
                <w:szCs w:val="21"/>
              </w:rPr>
              <w:t>企业履约等级</w:t>
            </w:r>
            <w:r>
              <w:rPr>
                <w:rFonts w:hint="eastAsia" w:ascii="宋体" w:hAnsi="宋体" w:eastAsia="宋体" w:cs="宋体"/>
                <w:color w:val="000000"/>
                <w:spacing w:val="-8"/>
                <w:sz w:val="21"/>
                <w:szCs w:val="21"/>
              </w:rPr>
              <w:t>：           10</w:t>
            </w:r>
            <w:r>
              <w:rPr>
                <w:rFonts w:hint="eastAsia" w:ascii="宋体" w:hAnsi="宋体" w:eastAsia="宋体" w:cs="宋体"/>
                <w:spacing w:val="-8"/>
                <w:sz w:val="21"/>
                <w:szCs w:val="21"/>
              </w:rPr>
              <w:t>分；</w:t>
            </w:r>
          </w:p>
          <w:p w14:paraId="675A442C">
            <w:pPr>
              <w:spacing w:before="113" w:line="240" w:lineRule="auto"/>
              <w:ind w:firstLine="728" w:firstLineChars="400"/>
              <w:jc w:val="center"/>
              <w:rPr>
                <w:rFonts w:hint="eastAsia" w:ascii="宋体" w:hAnsi="宋体" w:eastAsia="宋体" w:cs="宋体"/>
                <w:sz w:val="21"/>
                <w:szCs w:val="21"/>
              </w:rPr>
            </w:pPr>
            <w:r>
              <w:rPr>
                <w:rFonts w:hint="eastAsia" w:ascii="宋体" w:hAnsi="宋体" w:eastAsia="宋体" w:cs="宋体"/>
                <w:spacing w:val="-14"/>
                <w:sz w:val="21"/>
                <w:szCs w:val="21"/>
              </w:rPr>
              <w:t>企业综合实力</w:t>
            </w:r>
            <w:r>
              <w:rPr>
                <w:rFonts w:hint="eastAsia" w:ascii="宋体" w:hAnsi="宋体" w:eastAsia="宋体" w:cs="宋体"/>
                <w:spacing w:val="-7"/>
                <w:sz w:val="21"/>
                <w:szCs w:val="21"/>
              </w:rPr>
              <w:t>：          10分。</w:t>
            </w:r>
          </w:p>
        </w:tc>
      </w:tr>
      <w:tr w14:paraId="0B3AB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9" w:hRule="atLeast"/>
        </w:trPr>
        <w:tc>
          <w:tcPr>
            <w:tcW w:w="912" w:type="dxa"/>
            <w:tcBorders>
              <w:top w:val="single" w:color="auto" w:sz="4" w:space="0"/>
              <w:bottom w:val="single" w:color="auto" w:sz="4" w:space="0"/>
            </w:tcBorders>
            <w:vAlign w:val="center"/>
          </w:tcPr>
          <w:p w14:paraId="3C676A0C">
            <w:pPr>
              <w:spacing w:before="64" w:line="240" w:lineRule="auto"/>
              <w:jc w:val="center"/>
              <w:rPr>
                <w:rFonts w:hint="eastAsia" w:ascii="宋体" w:hAnsi="宋体" w:eastAsia="宋体" w:cs="宋体"/>
                <w:spacing w:val="-1"/>
                <w:sz w:val="21"/>
                <w:szCs w:val="21"/>
              </w:rPr>
            </w:pPr>
            <w:r>
              <w:rPr>
                <w:rFonts w:hint="eastAsia" w:ascii="宋体" w:hAnsi="宋体" w:eastAsia="宋体" w:cs="宋体"/>
                <w:spacing w:val="-1"/>
                <w:sz w:val="21"/>
                <w:szCs w:val="21"/>
              </w:rPr>
              <w:t>2</w:t>
            </w:r>
          </w:p>
        </w:tc>
        <w:tc>
          <w:tcPr>
            <w:tcW w:w="1854" w:type="dxa"/>
            <w:tcBorders>
              <w:top w:val="single" w:color="auto" w:sz="4" w:space="0"/>
              <w:bottom w:val="single" w:color="auto" w:sz="4" w:space="0"/>
            </w:tcBorders>
            <w:vAlign w:val="center"/>
          </w:tcPr>
          <w:p w14:paraId="78B5AFBA">
            <w:pPr>
              <w:spacing w:before="68" w:line="240" w:lineRule="auto"/>
              <w:jc w:val="center"/>
              <w:rPr>
                <w:rFonts w:hint="eastAsia" w:ascii="宋体" w:hAnsi="宋体" w:eastAsia="宋体" w:cs="宋体"/>
                <w:snapToGrid w:val="0"/>
                <w:color w:val="000000"/>
                <w:kern w:val="0"/>
                <w:sz w:val="21"/>
                <w:szCs w:val="21"/>
              </w:rPr>
            </w:pPr>
            <w:r>
              <w:rPr>
                <w:rFonts w:hint="eastAsia" w:ascii="宋体" w:hAnsi="宋体" w:eastAsia="宋体" w:cs="宋体"/>
                <w:spacing w:val="-2"/>
                <w:sz w:val="21"/>
                <w:szCs w:val="21"/>
              </w:rPr>
              <w:t>投标报</w:t>
            </w:r>
            <w:r>
              <w:rPr>
                <w:rFonts w:hint="eastAsia" w:ascii="宋体" w:hAnsi="宋体" w:eastAsia="宋体" w:cs="宋体"/>
                <w:spacing w:val="-1"/>
                <w:sz w:val="21"/>
                <w:szCs w:val="21"/>
              </w:rPr>
              <w:t>价（80分）</w:t>
            </w:r>
          </w:p>
        </w:tc>
        <w:tc>
          <w:tcPr>
            <w:tcW w:w="6734" w:type="dxa"/>
            <w:tcBorders>
              <w:top w:val="single" w:color="auto" w:sz="4" w:space="0"/>
              <w:bottom w:val="single" w:color="000000" w:sz="2" w:space="0"/>
            </w:tcBorders>
            <w:vAlign w:val="center"/>
          </w:tcPr>
          <w:p w14:paraId="419591A4">
            <w:pPr>
              <w:spacing w:before="22" w:line="240" w:lineRule="auto"/>
              <w:ind w:firstLine="208" w:firstLineChars="100"/>
              <w:jc w:val="center"/>
              <w:rPr>
                <w:rFonts w:hint="eastAsia" w:ascii="宋体" w:hAnsi="宋体" w:eastAsia="宋体" w:cs="宋体"/>
                <w:snapToGrid w:val="0"/>
                <w:color w:val="000000"/>
                <w:kern w:val="0"/>
                <w:sz w:val="21"/>
                <w:szCs w:val="21"/>
              </w:rPr>
            </w:pPr>
            <w:r>
              <w:rPr>
                <w:rFonts w:hint="eastAsia" w:ascii="宋体" w:hAnsi="宋体" w:eastAsia="宋体" w:cs="宋体"/>
                <w:spacing w:val="-1"/>
                <w:sz w:val="21"/>
                <w:szCs w:val="21"/>
              </w:rPr>
              <w:t xml:space="preserve"> 投标报价等于评标基准值的得 80 分，</w:t>
            </w:r>
            <w:r>
              <w:rPr>
                <w:rFonts w:hint="eastAsia" w:ascii="宋体" w:hAnsi="宋体" w:eastAsia="宋体" w:cs="宋体"/>
                <w:spacing w:val="-6"/>
                <w:sz w:val="21"/>
                <w:szCs w:val="21"/>
              </w:rPr>
              <w:t>每高于评标基准值 1%的扣 0.5分。</w:t>
            </w:r>
            <w:r>
              <w:rPr>
                <w:rFonts w:hint="eastAsia" w:ascii="宋体" w:hAnsi="宋体" w:eastAsia="宋体" w:cs="宋体"/>
                <w:spacing w:val="-3"/>
                <w:sz w:val="21"/>
                <w:szCs w:val="21"/>
              </w:rPr>
              <w:t>投标报价分值=80- [| (投标报价-评标基准值)|/评标</w:t>
            </w:r>
            <w:r>
              <w:rPr>
                <w:rFonts w:hint="eastAsia" w:ascii="宋体" w:hAnsi="宋体" w:eastAsia="宋体" w:cs="宋体"/>
                <w:spacing w:val="-6"/>
                <w:sz w:val="21"/>
                <w:szCs w:val="21"/>
              </w:rPr>
              <w:t>基准值</w:t>
            </w:r>
            <w:r>
              <w:rPr>
                <w:rFonts w:hint="eastAsia" w:ascii="宋体" w:hAnsi="宋体" w:eastAsia="宋体" w:cs="宋体"/>
                <w:spacing w:val="-3"/>
                <w:sz w:val="21"/>
                <w:szCs w:val="21"/>
              </w:rPr>
              <w:t>*100]*0.5</w:t>
            </w:r>
          </w:p>
        </w:tc>
      </w:tr>
      <w:tr w14:paraId="224234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9" w:hRule="atLeast"/>
        </w:trPr>
        <w:tc>
          <w:tcPr>
            <w:tcW w:w="912" w:type="dxa"/>
            <w:tcBorders>
              <w:top w:val="single" w:color="auto" w:sz="4" w:space="0"/>
              <w:bottom w:val="single" w:color="auto" w:sz="4" w:space="0"/>
            </w:tcBorders>
            <w:vAlign w:val="center"/>
          </w:tcPr>
          <w:p w14:paraId="61AE56A7">
            <w:pPr>
              <w:spacing w:before="64" w:line="240" w:lineRule="auto"/>
              <w:jc w:val="center"/>
              <w:rPr>
                <w:rFonts w:hint="eastAsia" w:ascii="宋体" w:hAnsi="宋体" w:eastAsia="宋体" w:cs="宋体"/>
                <w:spacing w:val="-1"/>
                <w:sz w:val="21"/>
                <w:szCs w:val="21"/>
              </w:rPr>
            </w:pPr>
            <w:r>
              <w:rPr>
                <w:rFonts w:hint="eastAsia" w:ascii="宋体" w:hAnsi="宋体" w:eastAsia="宋体" w:cs="宋体"/>
                <w:spacing w:val="-1"/>
                <w:sz w:val="21"/>
                <w:szCs w:val="21"/>
              </w:rPr>
              <w:t>3</w:t>
            </w:r>
          </w:p>
        </w:tc>
        <w:tc>
          <w:tcPr>
            <w:tcW w:w="1854" w:type="dxa"/>
            <w:tcBorders>
              <w:top w:val="single" w:color="auto" w:sz="4" w:space="0"/>
              <w:bottom w:val="single" w:color="auto" w:sz="4" w:space="0"/>
            </w:tcBorders>
            <w:vAlign w:val="center"/>
          </w:tcPr>
          <w:p w14:paraId="6BE4304C">
            <w:pPr>
              <w:spacing w:before="68" w:line="240" w:lineRule="auto"/>
              <w:jc w:val="center"/>
              <w:rPr>
                <w:rFonts w:hint="eastAsia" w:ascii="宋体" w:hAnsi="宋体" w:eastAsia="宋体" w:cs="宋体"/>
                <w:snapToGrid w:val="0"/>
                <w:color w:val="000000"/>
                <w:kern w:val="0"/>
                <w:sz w:val="21"/>
                <w:szCs w:val="21"/>
              </w:rPr>
            </w:pPr>
            <w:r>
              <w:rPr>
                <w:rFonts w:hint="eastAsia" w:ascii="宋体" w:hAnsi="宋体" w:eastAsia="宋体" w:cs="宋体"/>
                <w:spacing w:val="-16"/>
                <w:sz w:val="21"/>
                <w:szCs w:val="21"/>
              </w:rPr>
              <w:t>企业履约等级（10分）</w:t>
            </w:r>
          </w:p>
        </w:tc>
        <w:tc>
          <w:tcPr>
            <w:tcW w:w="6734" w:type="dxa"/>
            <w:tcBorders>
              <w:top w:val="single" w:color="auto" w:sz="4" w:space="0"/>
              <w:bottom w:val="single" w:color="000000" w:sz="2" w:space="0"/>
            </w:tcBorders>
            <w:vAlign w:val="center"/>
          </w:tcPr>
          <w:p w14:paraId="509A3E14">
            <w:pPr>
              <w:spacing w:before="112" w:line="240" w:lineRule="auto"/>
              <w:ind w:firstLine="388" w:firstLineChars="200"/>
              <w:jc w:val="left"/>
              <w:rPr>
                <w:rFonts w:hint="eastAsia" w:ascii="宋体" w:hAnsi="宋体" w:eastAsia="宋体" w:cs="宋体"/>
                <w:snapToGrid w:val="0"/>
                <w:color w:val="000000"/>
                <w:kern w:val="0"/>
                <w:sz w:val="21"/>
                <w:szCs w:val="21"/>
              </w:rPr>
            </w:pPr>
            <w:r>
              <w:rPr>
                <w:rFonts w:hint="eastAsia" w:ascii="宋体" w:hAnsi="宋体" w:eastAsia="宋体" w:cs="宋体"/>
                <w:spacing w:val="-8"/>
                <w:sz w:val="21"/>
                <w:szCs w:val="21"/>
              </w:rPr>
              <w:t>在永祥电力公司签约项目中合同履约优秀的得8-10，良好的得4-7分，一般的得1-3分。（首次参加永祥公司工程投标，无履约业绩的该项按5分计取）</w:t>
            </w:r>
          </w:p>
        </w:tc>
      </w:tr>
      <w:tr w14:paraId="22BBB0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0" w:hRule="atLeast"/>
        </w:trPr>
        <w:tc>
          <w:tcPr>
            <w:tcW w:w="912" w:type="dxa"/>
            <w:tcBorders>
              <w:top w:val="single" w:color="auto" w:sz="4" w:space="0"/>
              <w:bottom w:val="single" w:color="auto" w:sz="4" w:space="0"/>
            </w:tcBorders>
            <w:vAlign w:val="center"/>
          </w:tcPr>
          <w:p w14:paraId="24771A44">
            <w:pPr>
              <w:spacing w:before="64" w:line="240" w:lineRule="auto"/>
              <w:jc w:val="center"/>
              <w:rPr>
                <w:rFonts w:hint="eastAsia" w:ascii="宋体" w:hAnsi="宋体" w:eastAsia="宋体" w:cs="宋体"/>
                <w:snapToGrid w:val="0"/>
                <w:color w:val="000000"/>
                <w:spacing w:val="-1"/>
                <w:kern w:val="0"/>
                <w:sz w:val="21"/>
                <w:szCs w:val="21"/>
              </w:rPr>
            </w:pPr>
            <w:r>
              <w:rPr>
                <w:rFonts w:hint="eastAsia" w:ascii="宋体" w:hAnsi="宋体" w:eastAsia="宋体" w:cs="宋体"/>
                <w:spacing w:val="-1"/>
                <w:sz w:val="21"/>
                <w:szCs w:val="21"/>
              </w:rPr>
              <w:t>4</w:t>
            </w:r>
          </w:p>
        </w:tc>
        <w:tc>
          <w:tcPr>
            <w:tcW w:w="1854" w:type="dxa"/>
            <w:tcBorders>
              <w:top w:val="single" w:color="auto" w:sz="4" w:space="0"/>
              <w:bottom w:val="single" w:color="auto" w:sz="4" w:space="0"/>
            </w:tcBorders>
            <w:vAlign w:val="center"/>
          </w:tcPr>
          <w:p w14:paraId="43B19142">
            <w:pPr>
              <w:spacing w:before="68" w:line="240" w:lineRule="auto"/>
              <w:jc w:val="center"/>
              <w:rPr>
                <w:rFonts w:hint="eastAsia" w:ascii="宋体" w:hAnsi="宋体" w:eastAsia="宋体" w:cs="宋体"/>
                <w:snapToGrid w:val="0"/>
                <w:color w:val="000000"/>
                <w:kern w:val="0"/>
                <w:sz w:val="21"/>
                <w:szCs w:val="21"/>
              </w:rPr>
            </w:pPr>
            <w:r>
              <w:rPr>
                <w:rFonts w:hint="eastAsia" w:ascii="宋体" w:hAnsi="宋体" w:eastAsia="宋体" w:cs="宋体"/>
                <w:spacing w:val="-14"/>
                <w:sz w:val="21"/>
                <w:szCs w:val="21"/>
              </w:rPr>
              <w:t>企业综合实力</w:t>
            </w:r>
            <w:r>
              <w:rPr>
                <w:rFonts w:hint="eastAsia" w:ascii="宋体" w:hAnsi="宋体" w:eastAsia="宋体" w:cs="宋体"/>
                <w:spacing w:val="-16"/>
                <w:sz w:val="21"/>
                <w:szCs w:val="21"/>
              </w:rPr>
              <w:t>（10分）</w:t>
            </w:r>
          </w:p>
        </w:tc>
        <w:tc>
          <w:tcPr>
            <w:tcW w:w="6734" w:type="dxa"/>
            <w:tcBorders>
              <w:top w:val="single" w:color="auto" w:sz="4" w:space="0"/>
              <w:bottom w:val="single" w:color="auto" w:sz="4" w:space="0"/>
            </w:tcBorders>
            <w:vAlign w:val="center"/>
          </w:tcPr>
          <w:p w14:paraId="34B8626E">
            <w:pPr>
              <w:spacing w:before="38" w:line="240" w:lineRule="auto"/>
              <w:ind w:firstLine="388" w:firstLineChars="200"/>
              <w:jc w:val="left"/>
              <w:rPr>
                <w:rFonts w:hint="eastAsia" w:ascii="宋体" w:hAnsi="宋体" w:eastAsia="宋体" w:cs="宋体"/>
                <w:snapToGrid w:val="0"/>
                <w:color w:val="000000"/>
                <w:kern w:val="0"/>
                <w:sz w:val="21"/>
                <w:szCs w:val="21"/>
              </w:rPr>
            </w:pPr>
            <w:r>
              <w:rPr>
                <w:rFonts w:hint="eastAsia" w:ascii="宋体" w:hAnsi="宋体" w:eastAsia="宋体" w:cs="宋体"/>
                <w:spacing w:val="-8"/>
                <w:sz w:val="21"/>
                <w:szCs w:val="21"/>
              </w:rPr>
              <w:t>对投标企业综合实力进行评定，优秀的得8-10，良好的得4-7分，一般的得1-3分。</w:t>
            </w:r>
          </w:p>
        </w:tc>
      </w:tr>
      <w:tr w14:paraId="149060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0" w:hRule="atLeast"/>
        </w:trPr>
        <w:tc>
          <w:tcPr>
            <w:tcW w:w="912" w:type="dxa"/>
            <w:tcBorders>
              <w:top w:val="single" w:color="auto" w:sz="4" w:space="0"/>
              <w:bottom w:val="single" w:color="auto" w:sz="4" w:space="0"/>
            </w:tcBorders>
            <w:vAlign w:val="center"/>
          </w:tcPr>
          <w:p w14:paraId="28A5483C">
            <w:pPr>
              <w:spacing w:before="64" w:line="240" w:lineRule="auto"/>
              <w:jc w:val="center"/>
              <w:rPr>
                <w:rFonts w:hint="eastAsia" w:ascii="宋体" w:hAnsi="宋体" w:eastAsia="宋体" w:cs="宋体"/>
                <w:snapToGrid w:val="0"/>
                <w:color w:val="000000"/>
                <w:spacing w:val="-1"/>
                <w:kern w:val="0"/>
                <w:sz w:val="21"/>
                <w:szCs w:val="21"/>
              </w:rPr>
            </w:pPr>
            <w:r>
              <w:rPr>
                <w:rFonts w:hint="eastAsia" w:ascii="宋体" w:hAnsi="宋体" w:eastAsia="宋体" w:cs="宋体"/>
                <w:spacing w:val="-1"/>
                <w:sz w:val="21"/>
                <w:szCs w:val="21"/>
              </w:rPr>
              <w:t>5</w:t>
            </w:r>
          </w:p>
        </w:tc>
        <w:tc>
          <w:tcPr>
            <w:tcW w:w="1854" w:type="dxa"/>
            <w:tcBorders>
              <w:top w:val="single" w:color="auto" w:sz="4" w:space="0"/>
              <w:bottom w:val="single" w:color="auto" w:sz="4" w:space="0"/>
            </w:tcBorders>
            <w:vAlign w:val="center"/>
          </w:tcPr>
          <w:p w14:paraId="48A330AB">
            <w:pPr>
              <w:spacing w:before="68" w:line="240" w:lineRule="auto"/>
              <w:jc w:val="center"/>
              <w:rPr>
                <w:rFonts w:hint="eastAsia" w:ascii="宋体" w:hAnsi="宋体" w:eastAsia="宋体" w:cs="宋体"/>
                <w:snapToGrid w:val="0"/>
                <w:color w:val="000000"/>
                <w:kern w:val="0"/>
                <w:sz w:val="21"/>
                <w:szCs w:val="21"/>
              </w:rPr>
            </w:pPr>
            <w:r>
              <w:rPr>
                <w:rFonts w:hint="eastAsia" w:ascii="宋体" w:hAnsi="宋体" w:eastAsia="宋体" w:cs="宋体"/>
                <w:spacing w:val="-14"/>
                <w:sz w:val="21"/>
                <w:szCs w:val="21"/>
              </w:rPr>
              <w:t>备注</w:t>
            </w:r>
          </w:p>
        </w:tc>
        <w:tc>
          <w:tcPr>
            <w:tcW w:w="6734" w:type="dxa"/>
            <w:tcBorders>
              <w:top w:val="single" w:color="auto" w:sz="4" w:space="0"/>
              <w:bottom w:val="single" w:color="000000" w:sz="2" w:space="0"/>
            </w:tcBorders>
            <w:vAlign w:val="center"/>
          </w:tcPr>
          <w:p w14:paraId="5D286424">
            <w:pPr>
              <w:spacing w:before="38" w:line="240" w:lineRule="auto"/>
              <w:ind w:firstLine="388" w:firstLineChars="200"/>
              <w:jc w:val="left"/>
              <w:rPr>
                <w:rFonts w:hint="eastAsia" w:ascii="宋体" w:hAnsi="宋体" w:eastAsia="宋体" w:cs="宋体"/>
                <w:snapToGrid w:val="0"/>
                <w:color w:val="000000"/>
                <w:kern w:val="0"/>
                <w:sz w:val="21"/>
                <w:szCs w:val="21"/>
              </w:rPr>
            </w:pPr>
            <w:r>
              <w:rPr>
                <w:rFonts w:hint="eastAsia" w:ascii="宋体" w:hAnsi="宋体" w:eastAsia="宋体" w:cs="宋体"/>
                <w:spacing w:val="-8"/>
                <w:sz w:val="21"/>
                <w:szCs w:val="21"/>
              </w:rPr>
              <w:t>本工程</w:t>
            </w:r>
            <w:r>
              <w:rPr>
                <w:rFonts w:hint="eastAsia" w:ascii="宋体" w:hAnsi="宋体" w:eastAsia="宋体" w:cs="宋体"/>
                <w:spacing w:val="-6"/>
                <w:sz w:val="21"/>
                <w:szCs w:val="21"/>
              </w:rPr>
              <w:t>评标基准值为有效最低价。</w:t>
            </w:r>
          </w:p>
        </w:tc>
      </w:tr>
    </w:tbl>
    <w:p w14:paraId="42125C6F"/>
    <w:sectPr>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58E332"/>
    <w:multiLevelType w:val="multilevel"/>
    <w:tmpl w:val="8758E332"/>
    <w:lvl w:ilvl="0" w:tentative="0">
      <w:start w:val="1"/>
      <w:numFmt w:val="decimal"/>
      <w:lvlText w:val="%1."/>
      <w:lvlJc w:val="left"/>
      <w:pPr>
        <w:ind w:left="432" w:hanging="432"/>
      </w:pPr>
      <w:rPr>
        <w:rFonts w:hint="default" w:ascii="宋体" w:hAnsi="宋体" w:eastAsia="宋体" w:cs="宋体"/>
      </w:rPr>
    </w:lvl>
    <w:lvl w:ilvl="1" w:tentative="0">
      <w:start w:val="1"/>
      <w:numFmt w:val="decimal"/>
      <w:lvlText w:val="%1.%2."/>
      <w:lvlJc w:val="left"/>
      <w:pPr>
        <w:ind w:left="575" w:hanging="575"/>
      </w:pPr>
      <w:rPr>
        <w:rFonts w:hint="default" w:ascii="宋体" w:hAnsi="宋体" w:eastAsia="宋体" w:cs="宋体"/>
      </w:rPr>
    </w:lvl>
    <w:lvl w:ilvl="2" w:tentative="0">
      <w:start w:val="1"/>
      <w:numFmt w:val="decimal"/>
      <w:pStyle w:val="19"/>
      <w:lvlText w:val="%1.%2.%3."/>
      <w:lvlJc w:val="left"/>
      <w:pPr>
        <w:ind w:left="720" w:hanging="720"/>
      </w:pPr>
      <w:rPr>
        <w:rFonts w:hint="default" w:ascii="宋体" w:hAnsi="宋体" w:eastAsia="宋体" w:cs="宋体"/>
      </w:rPr>
    </w:lvl>
    <w:lvl w:ilvl="3" w:tentative="0">
      <w:start w:val="1"/>
      <w:numFmt w:val="decimal"/>
      <w:lvlRestart w:val="0"/>
      <w:lvlText w:val="%1.%2.%3.%4."/>
      <w:lvlJc w:val="left"/>
      <w:pPr>
        <w:ind w:left="864" w:hanging="864"/>
      </w:pPr>
      <w:rPr>
        <w:rFonts w:hint="default" w:ascii="宋体" w:hAnsi="宋体" w:eastAsia="宋体" w:cs="宋体"/>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1">
    <w:nsid w:val="B0FA004A"/>
    <w:multiLevelType w:val="multilevel"/>
    <w:tmpl w:val="B0FA004A"/>
    <w:lvl w:ilvl="0" w:tentative="0">
      <w:start w:val="1"/>
      <w:numFmt w:val="none"/>
      <w:pStyle w:val="21"/>
      <w:lvlText w:val="第一章%1"/>
      <w:lvlJc w:val="left"/>
      <w:pPr>
        <w:ind w:left="0" w:firstLine="0"/>
      </w:pPr>
      <w:rPr>
        <w:rFonts w:hint="default" w:ascii="宋体" w:hAnsi="宋体" w:eastAsia="宋体" w:cs="宋体"/>
      </w:rPr>
    </w:lvl>
    <w:lvl w:ilvl="1" w:tentative="0">
      <w:start w:val="1"/>
      <w:numFmt w:val="none"/>
      <w:pStyle w:val="3"/>
      <w:lvlText w:val="1.1"/>
      <w:lvlJc w:val="left"/>
      <w:pPr>
        <w:ind w:left="0" w:firstLine="0"/>
      </w:pPr>
      <w:rPr>
        <w:rFonts w:hint="default" w:ascii="宋体" w:hAnsi="宋体" w:eastAsia="宋体" w:cs="宋体"/>
      </w:rPr>
    </w:lvl>
    <w:lvl w:ilvl="2" w:tentative="0">
      <w:start w:val="1"/>
      <w:numFmt w:val="decimal"/>
      <w:isLgl/>
      <w:lvlText w:val="%1.%2.%3"/>
      <w:lvlJc w:val="left"/>
      <w:pPr>
        <w:ind w:left="0" w:firstLine="0"/>
      </w:pPr>
      <w:rPr>
        <w:rFonts w:hint="default" w:ascii="宋体" w:hAnsi="宋体" w:eastAsia="宋体" w:cs="宋体"/>
      </w:rPr>
    </w:lvl>
    <w:lvl w:ilvl="3" w:tentative="0">
      <w:start w:val="1"/>
      <w:numFmt w:val="decimal"/>
      <w:isLgl/>
      <w:lvlText w:val="%1.%2.%3.%4"/>
      <w:lvlJc w:val="left"/>
      <w:pPr>
        <w:ind w:left="0" w:firstLine="0"/>
      </w:pPr>
      <w:rPr>
        <w:rFonts w:hint="default" w:ascii="宋体" w:hAnsi="宋体" w:eastAsia="宋体" w:cs="宋体"/>
      </w:rPr>
    </w:lvl>
    <w:lvl w:ilvl="4" w:tentative="0">
      <w:start w:val="1"/>
      <w:numFmt w:val="decimal"/>
      <w:lvlText w:val="(%5)"/>
      <w:lvlJc w:val="left"/>
      <w:pPr>
        <w:ind w:left="3402" w:firstLine="0"/>
      </w:pPr>
      <w:rPr>
        <w:rFonts w:hint="eastAsia"/>
      </w:rPr>
    </w:lvl>
    <w:lvl w:ilvl="5" w:tentative="0">
      <w:start w:val="1"/>
      <w:numFmt w:val="lowerLetter"/>
      <w:lvlText w:val="(%6)"/>
      <w:lvlJc w:val="left"/>
      <w:pPr>
        <w:ind w:left="4252" w:firstLine="0"/>
      </w:pPr>
      <w:rPr>
        <w:rFonts w:hint="eastAsia"/>
      </w:rPr>
    </w:lvl>
    <w:lvl w:ilvl="6" w:tentative="0">
      <w:start w:val="1"/>
      <w:numFmt w:val="lowerRoman"/>
      <w:lvlText w:val="(%7)"/>
      <w:lvlJc w:val="left"/>
      <w:pPr>
        <w:ind w:left="5102" w:firstLine="0"/>
      </w:pPr>
      <w:rPr>
        <w:rFonts w:hint="eastAsia"/>
      </w:rPr>
    </w:lvl>
    <w:lvl w:ilvl="7" w:tentative="0">
      <w:start w:val="1"/>
      <w:numFmt w:val="lowerLetter"/>
      <w:lvlText w:val="(%8)"/>
      <w:lvlJc w:val="left"/>
      <w:pPr>
        <w:ind w:left="5953" w:firstLine="0"/>
      </w:pPr>
      <w:rPr>
        <w:rFonts w:hint="eastAsia"/>
      </w:rPr>
    </w:lvl>
    <w:lvl w:ilvl="8" w:tentative="0">
      <w:start w:val="1"/>
      <w:numFmt w:val="lowerRoman"/>
      <w:lvlText w:val="(%9)"/>
      <w:lvlJc w:val="left"/>
      <w:pPr>
        <w:ind w:left="6803" w:firstLine="0"/>
      </w:pPr>
      <w:rPr>
        <w:rFonts w:hint="default" w:ascii="宋体" w:hAnsi="宋体" w:eastAsia="宋体" w:cs="宋体"/>
      </w:rPr>
    </w:lvl>
  </w:abstractNum>
  <w:abstractNum w:abstractNumId="2">
    <w:nsid w:val="B1A5EB42"/>
    <w:multiLevelType w:val="multilevel"/>
    <w:tmpl w:val="B1A5EB42"/>
    <w:lvl w:ilvl="0" w:tentative="0">
      <w:start w:val="1"/>
      <w:numFmt w:val="decimal"/>
      <w:lvlText w:val="%1."/>
      <w:lvlJc w:val="left"/>
      <w:pPr>
        <w:ind w:left="432" w:hanging="432"/>
      </w:pPr>
      <w:rPr>
        <w:rFonts w:hint="default" w:ascii="宋体" w:hAnsi="宋体" w:eastAsia="宋体" w:cs="宋体"/>
      </w:rPr>
    </w:lvl>
    <w:lvl w:ilvl="1" w:tentative="0">
      <w:start w:val="1"/>
      <w:numFmt w:val="decimal"/>
      <w:lvlText w:val="%1.%2."/>
      <w:lvlJc w:val="left"/>
      <w:pPr>
        <w:ind w:left="575" w:hanging="575"/>
      </w:pPr>
      <w:rPr>
        <w:rFonts w:hint="default" w:ascii="宋体" w:hAnsi="宋体" w:eastAsia="宋体" w:cs="宋体"/>
      </w:rPr>
    </w:lvl>
    <w:lvl w:ilvl="2" w:tentative="0">
      <w:start w:val="1"/>
      <w:numFmt w:val="decimal"/>
      <w:pStyle w:val="23"/>
      <w:lvlText w:val="%1.%2.%3."/>
      <w:lvlJc w:val="left"/>
      <w:pPr>
        <w:ind w:left="720" w:hanging="720"/>
      </w:pPr>
      <w:rPr>
        <w:rFonts w:hint="default" w:ascii="宋体" w:hAnsi="宋体" w:eastAsia="宋体" w:cs="宋体"/>
      </w:rPr>
    </w:lvl>
    <w:lvl w:ilvl="3" w:tentative="0">
      <w:start w:val="1"/>
      <w:numFmt w:val="decimal"/>
      <w:lvlRestart w:val="0"/>
      <w:pStyle w:val="5"/>
      <w:lvlText w:val="%1.%2.%3.%4."/>
      <w:lvlJc w:val="left"/>
      <w:pPr>
        <w:ind w:left="864" w:hanging="864"/>
      </w:pPr>
      <w:rPr>
        <w:rFonts w:hint="default" w:ascii="宋体" w:hAnsi="宋体" w:eastAsia="宋体" w:cs="宋体"/>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abstractNum w:abstractNumId="3">
    <w:nsid w:val="CD19BB4C"/>
    <w:multiLevelType w:val="multilevel"/>
    <w:tmpl w:val="CD19BB4C"/>
    <w:lvl w:ilvl="0" w:tentative="0">
      <w:start w:val="1"/>
      <w:numFmt w:val="chineseCountingThousand"/>
      <w:lvlText w:val="第%1章"/>
      <w:lvlJc w:val="left"/>
      <w:pPr>
        <w:ind w:left="0" w:firstLine="0"/>
      </w:pPr>
      <w:rPr>
        <w:rFonts w:hint="eastAsia"/>
      </w:rPr>
    </w:lvl>
    <w:lvl w:ilvl="1" w:tentative="0">
      <w:start w:val="1"/>
      <w:numFmt w:val="decimal"/>
      <w:pStyle w:val="15"/>
      <w:isLgl/>
      <w:lvlText w:val="%1.%2"/>
      <w:lvlJc w:val="left"/>
      <w:pPr>
        <w:ind w:left="0" w:firstLine="0"/>
      </w:pPr>
      <w:rPr>
        <w:rFonts w:hint="eastAsia"/>
      </w:rPr>
    </w:lvl>
    <w:lvl w:ilvl="2" w:tentative="0">
      <w:start w:val="1"/>
      <w:numFmt w:val="decimal"/>
      <w:isLgl/>
      <w:lvlText w:val="%1.%2.%3"/>
      <w:lvlJc w:val="left"/>
      <w:pPr>
        <w:ind w:left="0" w:firstLine="0"/>
      </w:pPr>
      <w:rPr>
        <w:rFonts w:hint="eastAsia" w:ascii="宋体" w:hAnsi="宋体" w:eastAsia="宋体"/>
      </w:rPr>
    </w:lvl>
    <w:lvl w:ilvl="3" w:tentative="0">
      <w:start w:val="1"/>
      <w:numFmt w:val="decimal"/>
      <w:isLgl/>
      <w:lvlText w:val="%1.%2.%3.%4"/>
      <w:lvlJc w:val="left"/>
      <w:pPr>
        <w:ind w:left="0" w:firstLine="0"/>
      </w:pPr>
      <w:rPr>
        <w:rFonts w:hint="eastAsia" w:ascii="宋体" w:hAnsi="宋体" w:eastAsia="宋体"/>
      </w:rPr>
    </w:lvl>
    <w:lvl w:ilvl="4" w:tentative="0">
      <w:start w:val="1"/>
      <w:numFmt w:val="decimal"/>
      <w:lvlText w:val="(%5)"/>
      <w:lvlJc w:val="left"/>
      <w:pPr>
        <w:ind w:left="3402" w:firstLine="0"/>
      </w:pPr>
      <w:rPr>
        <w:rFonts w:hint="eastAsia"/>
      </w:rPr>
    </w:lvl>
    <w:lvl w:ilvl="5" w:tentative="0">
      <w:start w:val="1"/>
      <w:numFmt w:val="lowerLetter"/>
      <w:lvlText w:val="(%6)"/>
      <w:lvlJc w:val="left"/>
      <w:pPr>
        <w:ind w:left="4252" w:firstLine="0"/>
      </w:pPr>
      <w:rPr>
        <w:rFonts w:hint="eastAsia"/>
      </w:rPr>
    </w:lvl>
    <w:lvl w:ilvl="6" w:tentative="0">
      <w:start w:val="1"/>
      <w:numFmt w:val="lowerRoman"/>
      <w:lvlText w:val="(%7)"/>
      <w:lvlJc w:val="left"/>
      <w:pPr>
        <w:ind w:left="5102" w:firstLine="0"/>
      </w:pPr>
      <w:rPr>
        <w:rFonts w:hint="eastAsia"/>
      </w:rPr>
    </w:lvl>
    <w:lvl w:ilvl="7" w:tentative="0">
      <w:start w:val="1"/>
      <w:numFmt w:val="lowerLetter"/>
      <w:lvlText w:val="(%8)"/>
      <w:lvlJc w:val="left"/>
      <w:pPr>
        <w:ind w:left="5953" w:firstLine="0"/>
      </w:pPr>
      <w:rPr>
        <w:rFonts w:hint="eastAsia"/>
      </w:rPr>
    </w:lvl>
    <w:lvl w:ilvl="8" w:tentative="0">
      <w:start w:val="1"/>
      <w:numFmt w:val="lowerRoman"/>
      <w:lvlText w:val="(%9)"/>
      <w:lvlJc w:val="left"/>
      <w:pPr>
        <w:ind w:left="6803" w:firstLine="0"/>
      </w:pPr>
      <w:rPr>
        <w:rFonts w:hint="eastAsia"/>
      </w:rPr>
    </w:lvl>
  </w:abstractNum>
  <w:abstractNum w:abstractNumId="4">
    <w:nsid w:val="EDA6FB1E"/>
    <w:multiLevelType w:val="multilevel"/>
    <w:tmpl w:val="EDA6FB1E"/>
    <w:lvl w:ilvl="0" w:tentative="0">
      <w:start w:val="1"/>
      <w:numFmt w:val="decimal"/>
      <w:lvlText w:val="%1."/>
      <w:lvlJc w:val="left"/>
      <w:pPr>
        <w:ind w:left="432" w:hanging="432"/>
      </w:pPr>
      <w:rPr>
        <w:rFonts w:hint="default" w:ascii="宋体" w:hAnsi="宋体" w:eastAsia="宋体" w:cs="宋体"/>
      </w:rPr>
    </w:lvl>
    <w:lvl w:ilvl="1" w:tentative="0">
      <w:start w:val="1"/>
      <w:numFmt w:val="decimal"/>
      <w:lvlText w:val="%1.%2."/>
      <w:lvlJc w:val="left"/>
      <w:pPr>
        <w:ind w:left="575" w:hanging="575"/>
      </w:pPr>
      <w:rPr>
        <w:rFonts w:hint="default" w:ascii="宋体" w:hAnsi="宋体" w:eastAsia="宋体" w:cs="宋体"/>
      </w:rPr>
    </w:lvl>
    <w:lvl w:ilvl="2" w:tentative="0">
      <w:start w:val="1"/>
      <w:numFmt w:val="decimal"/>
      <w:pStyle w:val="20"/>
      <w:lvlText w:val="%1.%2.%3."/>
      <w:lvlJc w:val="left"/>
      <w:pPr>
        <w:ind w:left="720" w:hanging="720"/>
      </w:pPr>
      <w:rPr>
        <w:rFonts w:hint="default" w:ascii="宋体" w:hAnsi="宋体" w:eastAsia="宋体" w:cs="宋体"/>
      </w:rPr>
    </w:lvl>
    <w:lvl w:ilvl="3" w:tentative="0">
      <w:start w:val="1"/>
      <w:numFmt w:val="decimal"/>
      <w:lvlRestart w:val="0"/>
      <w:lvlText w:val="%1.%2.%3.%4."/>
      <w:lvlJc w:val="left"/>
      <w:pPr>
        <w:ind w:left="864" w:hanging="864"/>
      </w:pPr>
      <w:rPr>
        <w:rFonts w:hint="default" w:ascii="宋体" w:hAnsi="宋体" w:eastAsia="宋体" w:cs="宋体"/>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5">
    <w:nsid w:val="F40FD95D"/>
    <w:multiLevelType w:val="singleLevel"/>
    <w:tmpl w:val="F40FD95D"/>
    <w:lvl w:ilvl="0" w:tentative="0">
      <w:start w:val="2"/>
      <w:numFmt w:val="decimal"/>
      <w:suff w:val="nothing"/>
      <w:lvlText w:val="%1、"/>
      <w:lvlJc w:val="left"/>
      <w:pPr>
        <w:ind w:left="630" w:firstLine="0"/>
      </w:pPr>
    </w:lvl>
  </w:abstractNum>
  <w:abstractNum w:abstractNumId="6">
    <w:nsid w:val="0F0905F1"/>
    <w:multiLevelType w:val="multilevel"/>
    <w:tmpl w:val="0F0905F1"/>
    <w:lvl w:ilvl="0" w:tentative="0">
      <w:start w:val="1"/>
      <w:numFmt w:val="none"/>
      <w:pStyle w:val="2"/>
      <w:lvlText w:val="第一章%1"/>
      <w:lvlJc w:val="left"/>
      <w:pPr>
        <w:ind w:left="0" w:firstLine="0"/>
      </w:pPr>
      <w:rPr>
        <w:rFonts w:hint="default" w:ascii="宋体" w:hAnsi="宋体" w:eastAsia="宋体" w:cs="宋体"/>
      </w:rPr>
    </w:lvl>
    <w:lvl w:ilvl="1" w:tentative="0">
      <w:start w:val="1"/>
      <w:numFmt w:val="none"/>
      <w:pStyle w:val="22"/>
      <w:lvlText w:val="1.1"/>
      <w:lvlJc w:val="left"/>
      <w:pPr>
        <w:ind w:left="0" w:firstLine="0"/>
      </w:pPr>
      <w:rPr>
        <w:rFonts w:hint="default" w:ascii="宋体" w:hAnsi="宋体" w:eastAsia="宋体" w:cs="宋体"/>
      </w:rPr>
    </w:lvl>
    <w:lvl w:ilvl="2" w:tentative="0">
      <w:start w:val="1"/>
      <w:numFmt w:val="decimal"/>
      <w:isLgl/>
      <w:lvlText w:val="%1.%2.%3"/>
      <w:lvlJc w:val="left"/>
      <w:pPr>
        <w:ind w:left="0" w:firstLine="0"/>
      </w:pPr>
      <w:rPr>
        <w:rFonts w:hint="default" w:ascii="宋体" w:hAnsi="宋体" w:eastAsia="宋体" w:cs="宋体"/>
      </w:rPr>
    </w:lvl>
    <w:lvl w:ilvl="3" w:tentative="0">
      <w:start w:val="1"/>
      <w:numFmt w:val="decimal"/>
      <w:isLgl/>
      <w:lvlText w:val="%1.%2.%3.%4"/>
      <w:lvlJc w:val="left"/>
      <w:pPr>
        <w:ind w:left="0" w:firstLine="0"/>
      </w:pPr>
      <w:rPr>
        <w:rFonts w:hint="default" w:ascii="宋体" w:hAnsi="宋体" w:eastAsia="宋体" w:cs="宋体"/>
      </w:rPr>
    </w:lvl>
    <w:lvl w:ilvl="4" w:tentative="0">
      <w:start w:val="1"/>
      <w:numFmt w:val="decimal"/>
      <w:lvlText w:val="(%5)"/>
      <w:lvlJc w:val="left"/>
      <w:pPr>
        <w:ind w:left="3402" w:firstLine="0"/>
      </w:pPr>
      <w:rPr>
        <w:rFonts w:hint="eastAsia"/>
      </w:rPr>
    </w:lvl>
    <w:lvl w:ilvl="5" w:tentative="0">
      <w:start w:val="1"/>
      <w:numFmt w:val="lowerLetter"/>
      <w:lvlText w:val="(%6)"/>
      <w:lvlJc w:val="left"/>
      <w:pPr>
        <w:ind w:left="4252" w:firstLine="0"/>
      </w:pPr>
      <w:rPr>
        <w:rFonts w:hint="eastAsia"/>
      </w:rPr>
    </w:lvl>
    <w:lvl w:ilvl="6" w:tentative="0">
      <w:start w:val="1"/>
      <w:numFmt w:val="lowerRoman"/>
      <w:lvlText w:val="(%7)"/>
      <w:lvlJc w:val="left"/>
      <w:pPr>
        <w:ind w:left="5102" w:firstLine="0"/>
      </w:pPr>
      <w:rPr>
        <w:rFonts w:hint="eastAsia"/>
      </w:rPr>
    </w:lvl>
    <w:lvl w:ilvl="7" w:tentative="0">
      <w:start w:val="1"/>
      <w:numFmt w:val="lowerLetter"/>
      <w:lvlText w:val="(%8)"/>
      <w:lvlJc w:val="left"/>
      <w:pPr>
        <w:ind w:left="5953" w:firstLine="0"/>
      </w:pPr>
      <w:rPr>
        <w:rFonts w:hint="eastAsia"/>
      </w:rPr>
    </w:lvl>
    <w:lvl w:ilvl="8" w:tentative="0">
      <w:start w:val="1"/>
      <w:numFmt w:val="lowerRoman"/>
      <w:lvlText w:val="(%9)"/>
      <w:lvlJc w:val="left"/>
      <w:pPr>
        <w:ind w:left="6803" w:firstLine="0"/>
      </w:pPr>
      <w:rPr>
        <w:rFonts w:hint="default" w:ascii="宋体" w:hAnsi="宋体" w:eastAsia="宋体" w:cs="宋体"/>
      </w:rPr>
    </w:lvl>
  </w:abstractNum>
  <w:abstractNum w:abstractNumId="7">
    <w:nsid w:val="504F14E7"/>
    <w:multiLevelType w:val="multilevel"/>
    <w:tmpl w:val="504F14E7"/>
    <w:lvl w:ilvl="0" w:tentative="0">
      <w:start w:val="1"/>
      <w:numFmt w:val="chineseCountingThousand"/>
      <w:pStyle w:val="18"/>
      <w:lvlText w:val="第%1章"/>
      <w:lvlJc w:val="left"/>
      <w:pPr>
        <w:ind w:left="0" w:firstLine="0"/>
      </w:pPr>
      <w:rPr>
        <w:rFonts w:hint="eastAsia"/>
      </w:rPr>
    </w:lvl>
    <w:lvl w:ilvl="1" w:tentative="0">
      <w:start w:val="1"/>
      <w:numFmt w:val="decimal"/>
      <w:isLgl/>
      <w:lvlText w:val="%1.%2"/>
      <w:lvlJc w:val="left"/>
      <w:pPr>
        <w:ind w:left="0" w:firstLine="0"/>
      </w:pPr>
      <w:rPr>
        <w:rFonts w:hint="eastAsia"/>
      </w:rPr>
    </w:lvl>
    <w:lvl w:ilvl="2" w:tentative="0">
      <w:start w:val="1"/>
      <w:numFmt w:val="decimal"/>
      <w:isLgl/>
      <w:lvlText w:val="%1.%2.%3"/>
      <w:lvlJc w:val="left"/>
      <w:pPr>
        <w:ind w:left="0" w:firstLine="0"/>
      </w:pPr>
      <w:rPr>
        <w:rFonts w:hint="eastAsia" w:ascii="宋体" w:hAnsi="宋体" w:eastAsia="宋体"/>
      </w:rPr>
    </w:lvl>
    <w:lvl w:ilvl="3" w:tentative="0">
      <w:start w:val="1"/>
      <w:numFmt w:val="decimal"/>
      <w:isLgl/>
      <w:lvlText w:val="%1.%2.%3.%4"/>
      <w:lvlJc w:val="left"/>
      <w:pPr>
        <w:ind w:left="0" w:firstLine="0"/>
      </w:pPr>
      <w:rPr>
        <w:rFonts w:hint="eastAsia" w:ascii="宋体" w:hAnsi="宋体" w:eastAsia="宋体"/>
      </w:rPr>
    </w:lvl>
    <w:lvl w:ilvl="4" w:tentative="0">
      <w:start w:val="1"/>
      <w:numFmt w:val="decimal"/>
      <w:lvlText w:val="(%5)"/>
      <w:lvlJc w:val="left"/>
      <w:pPr>
        <w:ind w:left="3402" w:firstLine="0"/>
      </w:pPr>
      <w:rPr>
        <w:rFonts w:hint="eastAsia"/>
      </w:rPr>
    </w:lvl>
    <w:lvl w:ilvl="5" w:tentative="0">
      <w:start w:val="1"/>
      <w:numFmt w:val="lowerLetter"/>
      <w:lvlText w:val="(%6)"/>
      <w:lvlJc w:val="left"/>
      <w:pPr>
        <w:ind w:left="4252" w:firstLine="0"/>
      </w:pPr>
      <w:rPr>
        <w:rFonts w:hint="eastAsia"/>
      </w:rPr>
    </w:lvl>
    <w:lvl w:ilvl="6" w:tentative="0">
      <w:start w:val="1"/>
      <w:numFmt w:val="lowerRoman"/>
      <w:lvlText w:val="(%7)"/>
      <w:lvlJc w:val="left"/>
      <w:pPr>
        <w:ind w:left="5102" w:firstLine="0"/>
      </w:pPr>
      <w:rPr>
        <w:rFonts w:hint="eastAsia"/>
      </w:rPr>
    </w:lvl>
    <w:lvl w:ilvl="7" w:tentative="0">
      <w:start w:val="1"/>
      <w:numFmt w:val="lowerLetter"/>
      <w:lvlText w:val="(%8)"/>
      <w:lvlJc w:val="left"/>
      <w:pPr>
        <w:ind w:left="5953" w:firstLine="0"/>
      </w:pPr>
      <w:rPr>
        <w:rFonts w:hint="eastAsia"/>
      </w:rPr>
    </w:lvl>
    <w:lvl w:ilvl="8" w:tentative="0">
      <w:start w:val="1"/>
      <w:numFmt w:val="lowerRoman"/>
      <w:lvlText w:val="(%9)"/>
      <w:lvlJc w:val="left"/>
      <w:pPr>
        <w:ind w:left="6803" w:firstLine="0"/>
      </w:pPr>
      <w:rPr>
        <w:rFonts w:hint="eastAsia"/>
      </w:rPr>
    </w:lvl>
  </w:abstractNum>
  <w:abstractNum w:abstractNumId="8">
    <w:nsid w:val="6CACCA1F"/>
    <w:multiLevelType w:val="multilevel"/>
    <w:tmpl w:val="6CACCA1F"/>
    <w:lvl w:ilvl="0" w:tentative="0">
      <w:start w:val="1"/>
      <w:numFmt w:val="chineseCountingThousand"/>
      <w:pStyle w:val="17"/>
      <w:lvlText w:val="第%1章"/>
      <w:lvlJc w:val="left"/>
      <w:pPr>
        <w:ind w:left="0" w:firstLine="0"/>
      </w:pPr>
      <w:rPr>
        <w:rFonts w:hint="eastAsia"/>
      </w:rPr>
    </w:lvl>
    <w:lvl w:ilvl="1" w:tentative="0">
      <w:start w:val="1"/>
      <w:numFmt w:val="decimal"/>
      <w:isLgl/>
      <w:lvlText w:val="%1.%2"/>
      <w:lvlJc w:val="left"/>
      <w:pPr>
        <w:ind w:left="0" w:firstLine="0"/>
      </w:pPr>
      <w:rPr>
        <w:rFonts w:hint="eastAsia"/>
      </w:rPr>
    </w:lvl>
    <w:lvl w:ilvl="2" w:tentative="0">
      <w:start w:val="1"/>
      <w:numFmt w:val="decimal"/>
      <w:isLgl/>
      <w:lvlText w:val="%1.%2.%3"/>
      <w:lvlJc w:val="left"/>
      <w:pPr>
        <w:ind w:left="0" w:firstLine="0"/>
      </w:pPr>
      <w:rPr>
        <w:rFonts w:hint="eastAsia" w:ascii="宋体" w:hAnsi="宋体" w:eastAsia="宋体"/>
      </w:rPr>
    </w:lvl>
    <w:lvl w:ilvl="3" w:tentative="0">
      <w:start w:val="1"/>
      <w:numFmt w:val="decimal"/>
      <w:isLgl/>
      <w:lvlText w:val="%1.%2.%3.%4"/>
      <w:lvlJc w:val="left"/>
      <w:pPr>
        <w:ind w:left="0" w:firstLine="0"/>
      </w:pPr>
      <w:rPr>
        <w:rFonts w:hint="eastAsia" w:ascii="宋体" w:hAnsi="宋体" w:eastAsia="宋体"/>
      </w:rPr>
    </w:lvl>
    <w:lvl w:ilvl="4" w:tentative="0">
      <w:start w:val="1"/>
      <w:numFmt w:val="decimal"/>
      <w:lvlText w:val="(%5)"/>
      <w:lvlJc w:val="left"/>
      <w:pPr>
        <w:ind w:left="3402" w:firstLine="0"/>
      </w:pPr>
      <w:rPr>
        <w:rFonts w:hint="eastAsia"/>
      </w:rPr>
    </w:lvl>
    <w:lvl w:ilvl="5" w:tentative="0">
      <w:start w:val="1"/>
      <w:numFmt w:val="lowerLetter"/>
      <w:lvlText w:val="(%6)"/>
      <w:lvlJc w:val="left"/>
      <w:pPr>
        <w:ind w:left="4252" w:firstLine="0"/>
      </w:pPr>
      <w:rPr>
        <w:rFonts w:hint="eastAsia"/>
      </w:rPr>
    </w:lvl>
    <w:lvl w:ilvl="6" w:tentative="0">
      <w:start w:val="1"/>
      <w:numFmt w:val="lowerRoman"/>
      <w:lvlText w:val="(%7)"/>
      <w:lvlJc w:val="left"/>
      <w:pPr>
        <w:ind w:left="5102" w:firstLine="0"/>
      </w:pPr>
      <w:rPr>
        <w:rFonts w:hint="eastAsia"/>
      </w:rPr>
    </w:lvl>
    <w:lvl w:ilvl="7" w:tentative="0">
      <w:start w:val="1"/>
      <w:numFmt w:val="lowerLetter"/>
      <w:lvlText w:val="(%8)"/>
      <w:lvlJc w:val="left"/>
      <w:pPr>
        <w:ind w:left="5953" w:firstLine="0"/>
      </w:pPr>
      <w:rPr>
        <w:rFonts w:hint="eastAsia"/>
      </w:rPr>
    </w:lvl>
    <w:lvl w:ilvl="8" w:tentative="0">
      <w:start w:val="1"/>
      <w:numFmt w:val="lowerRoman"/>
      <w:lvlText w:val="(%9)"/>
      <w:lvlJc w:val="left"/>
      <w:pPr>
        <w:ind w:left="6803" w:firstLine="0"/>
      </w:pPr>
      <w:rPr>
        <w:rFonts w:hint="eastAsia"/>
      </w:rPr>
    </w:lvl>
  </w:abstractNum>
  <w:abstractNum w:abstractNumId="9">
    <w:nsid w:val="7FA9405B"/>
    <w:multiLevelType w:val="multilevel"/>
    <w:tmpl w:val="7FA9405B"/>
    <w:lvl w:ilvl="0" w:tentative="0">
      <w:start w:val="1"/>
      <w:numFmt w:val="decimal"/>
      <w:lvlText w:val="%1."/>
      <w:lvlJc w:val="left"/>
      <w:pPr>
        <w:ind w:left="432" w:hanging="432"/>
      </w:pPr>
      <w:rPr>
        <w:rFonts w:hint="default" w:ascii="宋体" w:hAnsi="宋体" w:eastAsia="宋体" w:cs="宋体"/>
      </w:rPr>
    </w:lvl>
    <w:lvl w:ilvl="1" w:tentative="0">
      <w:start w:val="1"/>
      <w:numFmt w:val="decimal"/>
      <w:lvlText w:val="%1.%2."/>
      <w:lvlJc w:val="left"/>
      <w:pPr>
        <w:ind w:left="575" w:hanging="575"/>
      </w:pPr>
      <w:rPr>
        <w:rFonts w:hint="default" w:ascii="宋体" w:hAnsi="宋体" w:eastAsia="宋体" w:cs="宋体"/>
      </w:rPr>
    </w:lvl>
    <w:lvl w:ilvl="2" w:tentative="0">
      <w:start w:val="1"/>
      <w:numFmt w:val="decimal"/>
      <w:pStyle w:val="16"/>
      <w:lvlText w:val="%1.%2.%3."/>
      <w:lvlJc w:val="left"/>
      <w:pPr>
        <w:ind w:left="720" w:hanging="720"/>
      </w:pPr>
      <w:rPr>
        <w:rFonts w:hint="default" w:ascii="宋体" w:hAnsi="宋体" w:eastAsia="宋体" w:cs="宋体"/>
      </w:rPr>
    </w:lvl>
    <w:lvl w:ilvl="3" w:tentative="0">
      <w:start w:val="1"/>
      <w:numFmt w:val="decimal"/>
      <w:lvlRestart w:val="0"/>
      <w:lvlText w:val="%1.%2.%3.%4."/>
      <w:lvlJc w:val="left"/>
      <w:pPr>
        <w:ind w:left="864" w:hanging="864"/>
      </w:pPr>
      <w:rPr>
        <w:rFonts w:hint="default" w:ascii="宋体" w:hAnsi="宋体" w:eastAsia="宋体" w:cs="宋体"/>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6"/>
  </w:num>
  <w:num w:numId="2">
    <w:abstractNumId w:val="1"/>
  </w:num>
  <w:num w:numId="3">
    <w:abstractNumId w:val="2"/>
  </w:num>
  <w:num w:numId="4">
    <w:abstractNumId w:val="3"/>
  </w:num>
  <w:num w:numId="5">
    <w:abstractNumId w:val="9"/>
  </w:num>
  <w:num w:numId="6">
    <w:abstractNumId w:val="8"/>
  </w:num>
  <w:num w:numId="7">
    <w:abstractNumId w:val="7"/>
  </w:num>
  <w:num w:numId="8">
    <w:abstractNumId w:val="0"/>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xMGRkNTVjYTBlODVjNTljZTM3M2Q5N2RjZjNjODEifQ=="/>
  </w:docVars>
  <w:rsids>
    <w:rsidRoot w:val="39801C2C"/>
    <w:rsid w:val="021F7714"/>
    <w:rsid w:val="076D35C3"/>
    <w:rsid w:val="10DE59BD"/>
    <w:rsid w:val="12881C68"/>
    <w:rsid w:val="1335442A"/>
    <w:rsid w:val="154442B2"/>
    <w:rsid w:val="18B11491"/>
    <w:rsid w:val="1E761B30"/>
    <w:rsid w:val="1EED58B5"/>
    <w:rsid w:val="20557C5E"/>
    <w:rsid w:val="20ED21F1"/>
    <w:rsid w:val="26942327"/>
    <w:rsid w:val="284D6C43"/>
    <w:rsid w:val="29DC42D9"/>
    <w:rsid w:val="2ADC44DE"/>
    <w:rsid w:val="3490203B"/>
    <w:rsid w:val="350C0848"/>
    <w:rsid w:val="352E3D28"/>
    <w:rsid w:val="39801C2C"/>
    <w:rsid w:val="3C3A49BB"/>
    <w:rsid w:val="3E0C7A1D"/>
    <w:rsid w:val="3F51400A"/>
    <w:rsid w:val="423240AD"/>
    <w:rsid w:val="43081BD1"/>
    <w:rsid w:val="44754337"/>
    <w:rsid w:val="48B36C73"/>
    <w:rsid w:val="4A052289"/>
    <w:rsid w:val="4D3C3BF4"/>
    <w:rsid w:val="54890697"/>
    <w:rsid w:val="56C82913"/>
    <w:rsid w:val="58DF1D91"/>
    <w:rsid w:val="59550245"/>
    <w:rsid w:val="616F09C8"/>
    <w:rsid w:val="6F7E30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keepNext/>
      <w:keepLines/>
      <w:numPr>
        <w:ilvl w:val="1"/>
        <w:numId w:val="2"/>
      </w:numPr>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semiHidden/>
    <w:unhideWhenUsed/>
    <w:qFormat/>
    <w:uiPriority w:val="0"/>
    <w:pPr>
      <w:keepNext/>
      <w:keepLines/>
      <w:spacing w:before="260" w:after="260" w:line="416" w:lineRule="auto"/>
      <w:jc w:val="left"/>
      <w:outlineLvl w:val="2"/>
    </w:pPr>
    <w:rPr>
      <w:rFonts w:ascii="宋体" w:hAnsi="宋体" w:eastAsia="宋体" w:cs="Times New Roman"/>
      <w:b/>
      <w:bCs/>
      <w:sz w:val="28"/>
      <w:szCs w:val="32"/>
    </w:rPr>
  </w:style>
  <w:style w:type="paragraph" w:styleId="5">
    <w:name w:val="heading 4"/>
    <w:basedOn w:val="1"/>
    <w:next w:val="1"/>
    <w:semiHidden/>
    <w:unhideWhenUsed/>
    <w:qFormat/>
    <w:uiPriority w:val="0"/>
    <w:pPr>
      <w:keepNext/>
      <w:keepLines/>
      <w:numPr>
        <w:ilvl w:val="3"/>
        <w:numId w:val="3"/>
      </w:numPr>
      <w:spacing w:before="280" w:beforeLines="0" w:beforeAutospacing="0" w:after="290" w:afterLines="0" w:afterAutospacing="0" w:line="372" w:lineRule="auto"/>
      <w:ind w:left="864" w:hanging="864"/>
      <w:outlineLvl w:val="3"/>
    </w:pPr>
    <w:rPr>
      <w:rFonts w:ascii="Arial" w:hAnsi="Arial" w:eastAsia="黑体"/>
      <w:b/>
      <w:sz w:val="28"/>
    </w:rPr>
  </w:style>
  <w:style w:type="paragraph" w:styleId="6">
    <w:name w:val="heading 5"/>
    <w:basedOn w:val="1"/>
    <w:next w:val="1"/>
    <w:semiHidden/>
    <w:unhideWhenUsed/>
    <w:qFormat/>
    <w:uiPriority w:val="0"/>
    <w:pPr>
      <w:keepNext/>
      <w:keepLines/>
      <w:numPr>
        <w:ilvl w:val="4"/>
        <w:numId w:val="3"/>
      </w:numPr>
      <w:spacing w:before="280" w:beforeLines="0" w:beforeAutospacing="0" w:after="290" w:afterLines="0" w:afterAutospacing="0" w:line="372" w:lineRule="auto"/>
      <w:ind w:left="1008" w:hanging="1008"/>
      <w:outlineLvl w:val="4"/>
    </w:pPr>
    <w:rPr>
      <w:b/>
      <w:sz w:val="28"/>
    </w:rPr>
  </w:style>
  <w:style w:type="paragraph" w:styleId="7">
    <w:name w:val="heading 6"/>
    <w:basedOn w:val="1"/>
    <w:next w:val="1"/>
    <w:semiHidden/>
    <w:unhideWhenUsed/>
    <w:qFormat/>
    <w:uiPriority w:val="0"/>
    <w:pPr>
      <w:keepNext/>
      <w:keepLines/>
      <w:numPr>
        <w:ilvl w:val="5"/>
        <w:numId w:val="3"/>
      </w:numPr>
      <w:spacing w:before="240" w:beforeLines="0" w:beforeAutospacing="0" w:after="64" w:afterLines="0" w:afterAutospacing="0" w:line="317" w:lineRule="auto"/>
      <w:ind w:left="1151" w:hanging="1151"/>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3"/>
      </w:numPr>
      <w:spacing w:before="240" w:beforeLines="0" w:beforeAutospacing="0" w:after="64" w:afterLines="0" w:afterAutospacing="0" w:line="317" w:lineRule="auto"/>
      <w:ind w:left="1296" w:hanging="1296"/>
      <w:outlineLvl w:val="6"/>
    </w:pPr>
    <w:rPr>
      <w:b/>
      <w:sz w:val="24"/>
    </w:rPr>
  </w:style>
  <w:style w:type="paragraph" w:styleId="9">
    <w:name w:val="heading 8"/>
    <w:basedOn w:val="1"/>
    <w:next w:val="1"/>
    <w:semiHidden/>
    <w:unhideWhenUsed/>
    <w:qFormat/>
    <w:uiPriority w:val="0"/>
    <w:pPr>
      <w:keepNext/>
      <w:keepLines/>
      <w:numPr>
        <w:ilvl w:val="7"/>
        <w:numId w:val="3"/>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3"/>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11">
    <w:name w:val="Normal (Web)"/>
    <w:basedOn w:val="1"/>
    <w:qFormat/>
    <w:uiPriority w:val="0"/>
    <w:pPr>
      <w:spacing w:beforeAutospacing="1" w:afterAutospacing="1"/>
      <w:jc w:val="left"/>
    </w:pPr>
    <w:rPr>
      <w:rFonts w:cs="Times New Roman"/>
      <w:kern w:val="0"/>
      <w:sz w:val="24"/>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样式2"/>
    <w:basedOn w:val="3"/>
    <w:next w:val="1"/>
    <w:qFormat/>
    <w:uiPriority w:val="0"/>
    <w:pPr>
      <w:numPr>
        <w:ilvl w:val="1"/>
        <w:numId w:val="4"/>
      </w:numPr>
    </w:pPr>
    <w:rPr>
      <w:rFonts w:ascii="Calibri Light" w:hAnsi="Calibri Light"/>
      <w:bCs/>
      <w:sz w:val="30"/>
      <w:szCs w:val="32"/>
    </w:rPr>
  </w:style>
  <w:style w:type="paragraph" w:customStyle="1" w:styleId="16">
    <w:name w:val="样式3"/>
    <w:basedOn w:val="4"/>
    <w:next w:val="1"/>
    <w:qFormat/>
    <w:uiPriority w:val="0"/>
    <w:pPr>
      <w:numPr>
        <w:ilvl w:val="2"/>
        <w:numId w:val="5"/>
      </w:numPr>
    </w:pPr>
    <w:rPr>
      <w:rFonts w:ascii="Calibri" w:hAnsi="Calibri"/>
      <w:sz w:val="30"/>
      <w:szCs w:val="32"/>
    </w:rPr>
  </w:style>
  <w:style w:type="paragraph" w:customStyle="1" w:styleId="17">
    <w:name w:val="样式4"/>
    <w:basedOn w:val="2"/>
    <w:next w:val="1"/>
    <w:qFormat/>
    <w:uiPriority w:val="0"/>
    <w:pPr>
      <w:numPr>
        <w:numId w:val="6"/>
      </w:numPr>
      <w:jc w:val="center"/>
    </w:pPr>
    <w:rPr>
      <w:rFonts w:ascii="Calibri" w:hAnsi="Calibri"/>
      <w:bCs/>
      <w:szCs w:val="44"/>
    </w:rPr>
  </w:style>
  <w:style w:type="paragraph" w:customStyle="1" w:styleId="18">
    <w:name w:val="大标题"/>
    <w:basedOn w:val="2"/>
    <w:next w:val="15"/>
    <w:qFormat/>
    <w:uiPriority w:val="0"/>
    <w:pPr>
      <w:numPr>
        <w:numId w:val="7"/>
      </w:numPr>
      <w:spacing w:line="360" w:lineRule="auto"/>
      <w:jc w:val="center"/>
    </w:pPr>
    <w:rPr>
      <w:rFonts w:ascii="Calibri" w:hAnsi="Calibri"/>
      <w:bCs/>
      <w:sz w:val="36"/>
      <w:szCs w:val="44"/>
    </w:rPr>
  </w:style>
  <w:style w:type="paragraph" w:customStyle="1" w:styleId="19">
    <w:name w:val="样式5"/>
    <w:basedOn w:val="4"/>
    <w:next w:val="1"/>
    <w:qFormat/>
    <w:uiPriority w:val="0"/>
    <w:pPr>
      <w:numPr>
        <w:ilvl w:val="2"/>
        <w:numId w:val="8"/>
      </w:numPr>
    </w:pPr>
    <w:rPr>
      <w:rFonts w:ascii="Calibri" w:hAnsi="Calibri"/>
      <w:szCs w:val="32"/>
    </w:rPr>
  </w:style>
  <w:style w:type="paragraph" w:customStyle="1" w:styleId="20">
    <w:name w:val="样式7"/>
    <w:basedOn w:val="4"/>
    <w:next w:val="1"/>
    <w:qFormat/>
    <w:uiPriority w:val="0"/>
    <w:pPr>
      <w:numPr>
        <w:ilvl w:val="2"/>
        <w:numId w:val="9"/>
      </w:numPr>
    </w:pPr>
    <w:rPr>
      <w:rFonts w:ascii="Calibri" w:hAnsi="Calibri"/>
      <w:szCs w:val="32"/>
    </w:rPr>
  </w:style>
  <w:style w:type="paragraph" w:customStyle="1" w:styleId="21">
    <w:name w:val="章节"/>
    <w:basedOn w:val="2"/>
    <w:next w:val="3"/>
    <w:qFormat/>
    <w:uiPriority w:val="0"/>
    <w:pPr>
      <w:numPr>
        <w:numId w:val="2"/>
      </w:numPr>
      <w:jc w:val="center"/>
    </w:pPr>
    <w:rPr>
      <w:rFonts w:ascii="Calibri" w:hAnsi="Calibri"/>
      <w:bCs/>
      <w:szCs w:val="44"/>
    </w:rPr>
  </w:style>
  <w:style w:type="paragraph" w:customStyle="1" w:styleId="22">
    <w:name w:val="二节"/>
    <w:basedOn w:val="3"/>
    <w:next w:val="4"/>
    <w:qFormat/>
    <w:uiPriority w:val="0"/>
    <w:pPr>
      <w:numPr>
        <w:numId w:val="1"/>
      </w:numPr>
      <w:jc w:val="center"/>
    </w:pPr>
    <w:rPr>
      <w:rFonts w:ascii="Calibri Light" w:hAnsi="Calibri Light"/>
      <w:bCs/>
      <w:szCs w:val="32"/>
    </w:rPr>
  </w:style>
  <w:style w:type="paragraph" w:customStyle="1" w:styleId="23">
    <w:name w:val="三节"/>
    <w:basedOn w:val="4"/>
    <w:next w:val="1"/>
    <w:qFormat/>
    <w:uiPriority w:val="0"/>
    <w:pPr>
      <w:numPr>
        <w:ilvl w:val="2"/>
        <w:numId w:val="3"/>
      </w:numPr>
      <w:jc w:val="center"/>
    </w:pPr>
    <w:rPr>
      <w:rFonts w:ascii="Calibri" w:hAnsi="Calibri"/>
      <w:szCs w:val="32"/>
    </w:rPr>
  </w:style>
  <w:style w:type="paragraph" w:styleId="24">
    <w:name w:val="List Paragraph"/>
    <w:basedOn w:val="1"/>
    <w:qFormat/>
    <w:uiPriority w:val="34"/>
    <w:pPr>
      <w:widowControl w:val="0"/>
      <w:adjustRightInd/>
      <w:snapToGrid/>
      <w:spacing w:after="0"/>
      <w:ind w:firstLine="420" w:firstLineChars="200"/>
      <w:jc w:val="both"/>
    </w:pPr>
    <w:rPr>
      <w:rFonts w:asciiTheme="minorHAnsi" w:hAnsiTheme="minorHAnsi" w:eastAsiaTheme="minorEastAsia"/>
      <w:kern w:val="2"/>
      <w:sz w:val="21"/>
    </w:rPr>
  </w:style>
  <w:style w:type="paragraph" w:customStyle="1" w:styleId="25">
    <w:name w:val="无间隔1"/>
    <w:basedOn w:val="1"/>
    <w:qFormat/>
    <w:uiPriority w:val="1"/>
    <w:pPr>
      <w:widowControl w:val="0"/>
      <w:adjustRightInd/>
      <w:snapToGrid/>
      <w:spacing w:after="0" w:line="400" w:lineRule="exact"/>
      <w:jc w:val="both"/>
    </w:pPr>
    <w:rPr>
      <w:rFonts w:ascii="Times New Roman" w:hAnsi="Times New Roman" w:eastAsia="宋体" w:cs="Times New Roman"/>
      <w:kern w:val="2"/>
      <w:sz w:val="24"/>
      <w:szCs w:val="24"/>
    </w:rPr>
  </w:style>
  <w:style w:type="paragraph" w:customStyle="1" w:styleId="26">
    <w:name w:val="普通 (Web)"/>
    <w:basedOn w:val="1"/>
    <w:qFormat/>
    <w:uiPriority w:val="0"/>
    <w:pPr>
      <w:widowControl/>
      <w:spacing w:before="100" w:beforeAutospacing="1" w:after="100" w:afterAutospacing="1"/>
      <w:jc w:val="left"/>
    </w:pPr>
    <w:rPr>
      <w:rFonts w:ascii="宋体" w:hAnsi="宋体"/>
      <w:kern w:val="0"/>
      <w:sz w:val="24"/>
    </w:rPr>
  </w:style>
  <w:style w:type="table" w:customStyle="1" w:styleId="2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3855</Words>
  <Characters>4580</Characters>
  <Lines>0</Lines>
  <Paragraphs>0</Paragraphs>
  <TotalTime>5</TotalTime>
  <ScaleCrop>false</ScaleCrop>
  <LinksUpToDate>false</LinksUpToDate>
  <CharactersWithSpaces>4716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2024-09-06T02:13:00Z</dcterms:created>
  <dc:creator>张辉</dc:creator>
  <cp:lastModifiedBy>迷人</cp:lastModifiedBy>
  <dcterms:modified xsi:type="dcterms:W3CDTF">2024-09-18T09:19:48Z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39C351242F9C476FA347DD1763769B5A_13</vt:lpwstr>
  </property>
</Properties>
</file>